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09" w:rsidRPr="009A0A63" w:rsidRDefault="00ED5709" w:rsidP="00E77342">
      <w:pPr>
        <w:pStyle w:val="11"/>
        <w:rPr>
          <w:kern w:val="0"/>
          <w:szCs w:val="40"/>
          <w:lang w:val="en-GB"/>
        </w:rPr>
      </w:pPr>
      <w:r w:rsidRPr="009A0A63">
        <w:t xml:space="preserve">Aticle Title: Times New Roman; Size-16; Line Spacing: </w:t>
      </w:r>
      <w:r w:rsidRPr="009A0A63">
        <w:rPr>
          <w:rFonts w:hint="eastAsia"/>
        </w:rPr>
        <w:t>F</w:t>
      </w:r>
      <w:r w:rsidRPr="009A0A63">
        <w:t xml:space="preserve">ixed-20pt; Paragraph Spacing: Above </w:t>
      </w:r>
      <w:r w:rsidRPr="009A0A63">
        <w:rPr>
          <w:rFonts w:hint="eastAsia"/>
        </w:rPr>
        <w:t>P</w:t>
      </w:r>
      <w:r w:rsidRPr="009A0A63">
        <w:t xml:space="preserve">aragraph-10pt, Below </w:t>
      </w:r>
      <w:r w:rsidRPr="009A0A63">
        <w:rPr>
          <w:rFonts w:hint="eastAsia"/>
        </w:rPr>
        <w:t>P</w:t>
      </w:r>
      <w:r w:rsidRPr="009A0A63">
        <w:t>aragraph-10pt</w:t>
      </w:r>
    </w:p>
    <w:p w:rsidR="00ED5709" w:rsidRPr="009A0A63" w:rsidRDefault="00ED5709" w:rsidP="00ED5709">
      <w:pPr>
        <w:widowControl/>
        <w:adjustRightInd w:val="0"/>
        <w:snapToGrid w:val="0"/>
        <w:spacing w:after="80" w:line="240" w:lineRule="exact"/>
        <w:jc w:val="center"/>
        <w:outlineLvl w:val="0"/>
        <w:rPr>
          <w:kern w:val="0"/>
          <w:sz w:val="20"/>
          <w:szCs w:val="20"/>
          <w:lang w:val="de-DE"/>
        </w:rPr>
      </w:pPr>
      <w:bookmarkStart w:id="0" w:name="OLE_LINK187"/>
      <w:bookmarkStart w:id="1" w:name="OLE_LINK188"/>
      <w:r w:rsidRPr="009A0A63">
        <w:rPr>
          <w:rFonts w:hint="eastAsia"/>
          <w:kern w:val="0"/>
          <w:sz w:val="20"/>
          <w:szCs w:val="20"/>
          <w:lang w:val="de-DE"/>
        </w:rPr>
        <w:t>Anne Smith</w:t>
      </w:r>
      <w:r w:rsidRPr="009A0A63">
        <w:rPr>
          <w:rFonts w:hint="eastAsia"/>
          <w:kern w:val="0"/>
          <w:sz w:val="20"/>
          <w:szCs w:val="20"/>
          <w:vertAlign w:val="superscript"/>
          <w:lang w:val="de-DE"/>
        </w:rPr>
        <w:t>1</w:t>
      </w:r>
      <w:r w:rsidRPr="009A0A63">
        <w:rPr>
          <w:rFonts w:eastAsia="Times New Roman"/>
          <w:kern w:val="0"/>
          <w:sz w:val="20"/>
          <w:szCs w:val="20"/>
          <w:lang w:val="de-DE" w:eastAsia="en-US"/>
        </w:rPr>
        <w:t xml:space="preserve">, </w:t>
      </w:r>
      <w:bookmarkStart w:id="2" w:name="OLE_LINK1236"/>
      <w:r w:rsidRPr="009A0A63">
        <w:rPr>
          <w:rFonts w:hint="eastAsia"/>
          <w:kern w:val="0"/>
          <w:sz w:val="20"/>
          <w:szCs w:val="20"/>
          <w:lang w:val="de-DE"/>
        </w:rPr>
        <w:t>M</w:t>
      </w:r>
      <w:r w:rsidRPr="00E77342">
        <w:rPr>
          <w:rStyle w:val="authorname0"/>
          <w:rFonts w:hint="eastAsia"/>
        </w:rPr>
        <w:t>ary A. Meade</w:t>
      </w:r>
      <w:bookmarkEnd w:id="2"/>
      <w:r w:rsidRPr="007F23A6">
        <w:rPr>
          <w:rStyle w:val="authorname0"/>
          <w:rFonts w:hint="eastAsia"/>
          <w:vertAlign w:val="superscript"/>
        </w:rPr>
        <w:t>1,2</w:t>
      </w:r>
      <w:r w:rsidRPr="00E77342">
        <w:rPr>
          <w:rStyle w:val="authorname0"/>
          <w:rFonts w:hint="eastAsia"/>
        </w:rPr>
        <w:t>, David W</w:t>
      </w:r>
      <w:r w:rsidRPr="009A0A63">
        <w:rPr>
          <w:rFonts w:hint="eastAsia"/>
          <w:kern w:val="0"/>
          <w:sz w:val="20"/>
          <w:szCs w:val="20"/>
          <w:lang w:val="de-DE"/>
        </w:rPr>
        <w:t xml:space="preserve">olf </w:t>
      </w:r>
      <w:r w:rsidRPr="009A0A63">
        <w:rPr>
          <w:sz w:val="20"/>
        </w:rPr>
        <w:t>II</w:t>
      </w:r>
      <w:r w:rsidRPr="009A0A63">
        <w:rPr>
          <w:rFonts w:hint="eastAsia"/>
          <w:kern w:val="0"/>
          <w:sz w:val="20"/>
          <w:szCs w:val="20"/>
          <w:vertAlign w:val="superscript"/>
          <w:lang w:val="de-DE"/>
        </w:rPr>
        <w:t>1</w:t>
      </w:r>
      <w:r w:rsidRPr="009A0A63">
        <w:rPr>
          <w:rFonts w:hint="eastAsia"/>
          <w:kern w:val="0"/>
          <w:sz w:val="20"/>
          <w:szCs w:val="20"/>
          <w:lang w:val="de-DE"/>
        </w:rPr>
        <w:t xml:space="preserve"> &amp; </w:t>
      </w:r>
      <w:r w:rsidRPr="009A0A63">
        <w:rPr>
          <w:rFonts w:hint="eastAsia"/>
          <w:bCs/>
          <w:kern w:val="0"/>
          <w:sz w:val="20"/>
          <w:szCs w:val="20"/>
        </w:rPr>
        <w:t>C</w:t>
      </w:r>
      <w:r w:rsidRPr="009A0A63">
        <w:rPr>
          <w:bCs/>
          <w:kern w:val="0"/>
          <w:sz w:val="20"/>
          <w:szCs w:val="20"/>
        </w:rPr>
        <w:t>harles Rockefeller Jr.</w:t>
      </w:r>
      <w:r w:rsidRPr="009A0A63">
        <w:rPr>
          <w:rFonts w:hint="eastAsia"/>
          <w:bCs/>
          <w:kern w:val="0"/>
          <w:sz w:val="20"/>
          <w:szCs w:val="20"/>
          <w:vertAlign w:val="superscript"/>
        </w:rPr>
        <w:t>2</w:t>
      </w:r>
    </w:p>
    <w:p w:rsidR="00ED5709" w:rsidRPr="009A0A63" w:rsidRDefault="00ED5709" w:rsidP="00E77342">
      <w:pPr>
        <w:pStyle w:val="text"/>
      </w:pPr>
      <w:r w:rsidRPr="009A0A63">
        <w:rPr>
          <w:rFonts w:hint="eastAsia"/>
          <w:vertAlign w:val="superscript"/>
          <w:lang w:val="de-DE"/>
        </w:rPr>
        <w:t>1</w:t>
      </w:r>
      <w:r w:rsidRPr="009A0A63">
        <w:rPr>
          <w:rFonts w:hint="eastAsia"/>
          <w:lang w:val="de-DE"/>
        </w:rPr>
        <w:t xml:space="preserve"> </w:t>
      </w:r>
      <w:r w:rsidRPr="009A0A63">
        <w:t>School of Management, Northern Canada University, Toronto, Canada</w:t>
      </w:r>
      <w:bookmarkStart w:id="3" w:name="_GoBack"/>
      <w:bookmarkEnd w:id="3"/>
    </w:p>
    <w:p w:rsidR="00ED5709" w:rsidRPr="009A0A63" w:rsidRDefault="00ED5709" w:rsidP="00ED5709">
      <w:pPr>
        <w:widowControl/>
        <w:adjustRightInd w:val="0"/>
        <w:snapToGrid w:val="0"/>
        <w:spacing w:after="80" w:line="240" w:lineRule="exact"/>
        <w:outlineLvl w:val="0"/>
        <w:rPr>
          <w:kern w:val="0"/>
          <w:sz w:val="20"/>
          <w:szCs w:val="20"/>
          <w:lang w:val="en-GB"/>
        </w:rPr>
      </w:pPr>
      <w:r w:rsidRPr="009A0A63">
        <w:rPr>
          <w:rFonts w:hint="eastAsia"/>
          <w:kern w:val="0"/>
          <w:sz w:val="20"/>
          <w:szCs w:val="20"/>
          <w:vertAlign w:val="superscript"/>
          <w:lang w:val="de-DE"/>
        </w:rPr>
        <w:t>2</w:t>
      </w:r>
      <w:r w:rsidRPr="009A0A63">
        <w:rPr>
          <w:rFonts w:eastAsia="Times New Roman"/>
          <w:kern w:val="0"/>
          <w:sz w:val="20"/>
          <w:szCs w:val="20"/>
          <w:lang w:eastAsia="en-US"/>
        </w:rPr>
        <w:t xml:space="preserve"> </w:t>
      </w:r>
      <w:r w:rsidRPr="009A0A63">
        <w:rPr>
          <w:kern w:val="0"/>
          <w:sz w:val="20"/>
          <w:szCs w:val="20"/>
        </w:rPr>
        <w:t>School of Economics, Peking University</w:t>
      </w:r>
      <w:r w:rsidRPr="009A0A63">
        <w:rPr>
          <w:rFonts w:hint="eastAsia"/>
          <w:kern w:val="0"/>
          <w:sz w:val="20"/>
          <w:szCs w:val="20"/>
        </w:rPr>
        <w:t xml:space="preserve">, </w:t>
      </w:r>
      <w:r w:rsidRPr="009A0A63">
        <w:rPr>
          <w:kern w:val="0"/>
          <w:sz w:val="20"/>
          <w:szCs w:val="20"/>
        </w:rPr>
        <w:t>Beijing, China</w:t>
      </w:r>
    </w:p>
    <w:p w:rsidR="00ED5709" w:rsidRPr="009A0A63" w:rsidRDefault="00ED5709" w:rsidP="00ED5709">
      <w:pPr>
        <w:widowControl/>
        <w:adjustRightInd w:val="0"/>
        <w:snapToGrid w:val="0"/>
        <w:spacing w:after="80" w:line="240" w:lineRule="exact"/>
        <w:outlineLvl w:val="0"/>
        <w:rPr>
          <w:sz w:val="20"/>
          <w:szCs w:val="20"/>
        </w:rPr>
      </w:pPr>
      <w:r w:rsidRPr="009A0A63">
        <w:rPr>
          <w:sz w:val="20"/>
          <w:szCs w:val="20"/>
        </w:rPr>
        <w:t xml:space="preserve">Correspondence: </w:t>
      </w:r>
      <w:r w:rsidRPr="009A0A63">
        <w:rPr>
          <w:rFonts w:hint="eastAsia"/>
          <w:kern w:val="0"/>
          <w:sz w:val="20"/>
          <w:szCs w:val="20"/>
          <w:lang w:val="de-DE"/>
        </w:rPr>
        <w:t xml:space="preserve">David Wolf </w:t>
      </w:r>
      <w:r w:rsidRPr="009A0A63">
        <w:rPr>
          <w:sz w:val="20"/>
        </w:rPr>
        <w:t>II</w:t>
      </w:r>
      <w:r w:rsidRPr="009A0A63">
        <w:rPr>
          <w:rFonts w:hint="eastAsia"/>
          <w:kern w:val="0"/>
          <w:sz w:val="20"/>
          <w:szCs w:val="20"/>
          <w:lang w:val="de-DE"/>
        </w:rPr>
        <w:t xml:space="preserve">, </w:t>
      </w:r>
      <w:r w:rsidRPr="009A0A63">
        <w:rPr>
          <w:rFonts w:eastAsia="Times New Roman"/>
          <w:bCs/>
          <w:kern w:val="0"/>
          <w:sz w:val="20"/>
          <w:szCs w:val="20"/>
          <w:lang w:eastAsia="en-US"/>
        </w:rPr>
        <w:t>School of Management, Northern Canada University</w:t>
      </w:r>
      <w:r w:rsidRPr="009A0A63">
        <w:rPr>
          <w:rFonts w:hint="eastAsia"/>
          <w:bCs/>
          <w:kern w:val="0"/>
          <w:sz w:val="20"/>
          <w:szCs w:val="20"/>
        </w:rPr>
        <w:t xml:space="preserve">, </w:t>
      </w:r>
      <w:r w:rsidRPr="009A0A63">
        <w:rPr>
          <w:rFonts w:eastAsia="Times New Roman"/>
          <w:bCs/>
          <w:kern w:val="0"/>
          <w:sz w:val="20"/>
          <w:szCs w:val="20"/>
          <w:lang w:eastAsia="en-US"/>
        </w:rPr>
        <w:t>Toronto, ON., M3A 2K7, Canada</w:t>
      </w:r>
      <w:r w:rsidRPr="009A0A63">
        <w:rPr>
          <w:rFonts w:hint="eastAsia"/>
          <w:bCs/>
          <w:kern w:val="0"/>
          <w:sz w:val="20"/>
          <w:szCs w:val="20"/>
        </w:rPr>
        <w:t>.</w:t>
      </w:r>
      <w:r w:rsidRPr="009A0A63">
        <w:rPr>
          <w:rFonts w:hint="eastAsia"/>
          <w:sz w:val="20"/>
          <w:szCs w:val="20"/>
        </w:rPr>
        <w:t xml:space="preserve"> </w:t>
      </w:r>
      <w:r w:rsidRPr="009A0A63">
        <w:rPr>
          <w:sz w:val="20"/>
          <w:szCs w:val="20"/>
        </w:rPr>
        <w:t>Tel: 1-613-947-3592</w:t>
      </w:r>
      <w:r w:rsidRPr="009A0A63">
        <w:rPr>
          <w:rFonts w:hint="eastAsia"/>
          <w:sz w:val="20"/>
          <w:szCs w:val="20"/>
        </w:rPr>
        <w:t xml:space="preserve">. </w:t>
      </w:r>
      <w:r w:rsidRPr="009A0A63">
        <w:rPr>
          <w:sz w:val="20"/>
          <w:szCs w:val="20"/>
        </w:rPr>
        <w:t>E</w:t>
      </w:r>
      <w:r w:rsidRPr="009A0A63">
        <w:rPr>
          <w:rFonts w:hint="eastAsia"/>
          <w:sz w:val="20"/>
          <w:szCs w:val="20"/>
        </w:rPr>
        <w:t>-</w:t>
      </w:r>
      <w:r w:rsidRPr="009A0A63">
        <w:rPr>
          <w:sz w:val="20"/>
          <w:szCs w:val="20"/>
        </w:rPr>
        <w:t>mail:</w:t>
      </w:r>
      <w:r w:rsidRPr="009A0A63">
        <w:rPr>
          <w:rFonts w:hint="eastAsia"/>
          <w:sz w:val="20"/>
          <w:szCs w:val="20"/>
        </w:rPr>
        <w:t xml:space="preserve"> davidwolf</w:t>
      </w:r>
      <w:r w:rsidRPr="009A0A63">
        <w:rPr>
          <w:sz w:val="20"/>
          <w:szCs w:val="20"/>
        </w:rPr>
        <w:t>@gc.ca</w:t>
      </w:r>
    </w:p>
    <w:bookmarkEnd w:id="0"/>
    <w:bookmarkEnd w:id="1"/>
    <w:p w:rsidR="00ED5709" w:rsidRPr="009A0A63" w:rsidRDefault="00ED5709" w:rsidP="00ED5709">
      <w:pPr>
        <w:spacing w:after="80" w:line="240" w:lineRule="exact"/>
        <w:ind w:firstLineChars="200" w:firstLine="400"/>
        <w:jc w:val="center"/>
        <w:rPr>
          <w:bCs/>
          <w:sz w:val="20"/>
          <w:szCs w:val="22"/>
          <w:lang w:val="en-GB"/>
        </w:rPr>
      </w:pPr>
    </w:p>
    <w:p w:rsidR="00ED5709" w:rsidRPr="009A0A63" w:rsidRDefault="00ED5709" w:rsidP="00ED5709">
      <w:pPr>
        <w:spacing w:after="80" w:line="240" w:lineRule="exact"/>
        <w:rPr>
          <w:bCs/>
          <w:sz w:val="20"/>
          <w:szCs w:val="22"/>
          <w:lang w:val="en-GB"/>
        </w:rPr>
      </w:pPr>
      <w:r w:rsidRPr="009A0A63">
        <w:rPr>
          <w:rFonts w:hint="eastAsia"/>
          <w:bCs/>
          <w:sz w:val="20"/>
          <w:szCs w:val="22"/>
          <w:lang w:val="en-GB"/>
        </w:rPr>
        <w:t>Received:</w:t>
      </w:r>
      <w:r w:rsidRPr="009A0A63">
        <w:rPr>
          <w:bCs/>
          <w:sz w:val="20"/>
          <w:szCs w:val="22"/>
          <w:lang w:val="en-GB"/>
        </w:rPr>
        <w:t xml:space="preserve"> October XX, 201X</w:t>
      </w:r>
      <w:r w:rsidRPr="009A0A63">
        <w:rPr>
          <w:rFonts w:hint="eastAsia"/>
          <w:bCs/>
          <w:sz w:val="20"/>
          <w:szCs w:val="22"/>
          <w:lang w:val="en-GB"/>
        </w:rPr>
        <w:t xml:space="preserve">   Accepted:</w:t>
      </w:r>
      <w:r w:rsidRPr="009A0A63">
        <w:rPr>
          <w:bCs/>
          <w:sz w:val="20"/>
          <w:szCs w:val="22"/>
          <w:lang w:val="en-GB"/>
        </w:rPr>
        <w:t xml:space="preserve"> November XX, 201X</w:t>
      </w:r>
      <w:r w:rsidRPr="009A0A63">
        <w:rPr>
          <w:rFonts w:hint="eastAsia"/>
          <w:bCs/>
          <w:sz w:val="20"/>
          <w:szCs w:val="22"/>
          <w:lang w:val="en-GB"/>
        </w:rPr>
        <w:t xml:space="preserve">   Online Published</w:t>
      </w:r>
      <w:r w:rsidRPr="009A0A63">
        <w:rPr>
          <w:bCs/>
          <w:sz w:val="20"/>
          <w:szCs w:val="22"/>
          <w:lang w:val="en-GB"/>
        </w:rPr>
        <w:t>: November XX, 201X</w:t>
      </w:r>
    </w:p>
    <w:p w:rsidR="00D8198D" w:rsidRPr="00ED5709" w:rsidRDefault="00D8198D" w:rsidP="00D8198D">
      <w:pPr>
        <w:spacing w:after="80" w:line="240" w:lineRule="exact"/>
        <w:rPr>
          <w:bCs/>
          <w:sz w:val="20"/>
          <w:szCs w:val="22"/>
          <w:lang w:val="en-GB"/>
        </w:rPr>
      </w:pPr>
    </w:p>
    <w:p w:rsidR="00D8198D" w:rsidRPr="001F48C2" w:rsidRDefault="00D8198D" w:rsidP="00D8198D">
      <w:pPr>
        <w:spacing w:after="80" w:line="240" w:lineRule="exact"/>
        <w:rPr>
          <w:bCs/>
          <w:sz w:val="20"/>
          <w:szCs w:val="22"/>
          <w:lang w:val="en-GB"/>
        </w:rPr>
      </w:pPr>
      <w:r w:rsidRPr="001F48C2">
        <w:rPr>
          <w:bCs/>
          <w:i/>
          <w:iCs/>
          <w:sz w:val="20"/>
          <w:szCs w:val="22"/>
          <w:lang w:val="en-GB"/>
        </w:rPr>
        <w:t>The research is financed by (Sponsoring information)</w:t>
      </w:r>
    </w:p>
    <w:p w:rsidR="00D8198D" w:rsidRPr="00813027" w:rsidRDefault="00D8198D" w:rsidP="00D8198D">
      <w:pPr>
        <w:spacing w:after="80" w:line="240" w:lineRule="exact"/>
        <w:rPr>
          <w:sz w:val="20"/>
          <w:szCs w:val="22"/>
        </w:rPr>
      </w:pPr>
    </w:p>
    <w:p w:rsidR="00CD2FC6" w:rsidRPr="009347AA" w:rsidRDefault="00CD2FC6" w:rsidP="00CD2FC6">
      <w:pPr>
        <w:spacing w:after="80" w:line="240" w:lineRule="exact"/>
        <w:outlineLvl w:val="0"/>
        <w:rPr>
          <w:b/>
          <w:bCs/>
          <w:sz w:val="20"/>
          <w:szCs w:val="22"/>
        </w:rPr>
      </w:pPr>
      <w:r w:rsidRPr="009347AA">
        <w:rPr>
          <w:b/>
          <w:bCs/>
          <w:sz w:val="20"/>
          <w:szCs w:val="22"/>
        </w:rPr>
        <w:t>Abstract</w:t>
      </w:r>
    </w:p>
    <w:p w:rsidR="00CD2FC6" w:rsidRPr="009347AA" w:rsidRDefault="00CD2FC6" w:rsidP="00CD2FC6">
      <w:pPr>
        <w:spacing w:after="80" w:line="240" w:lineRule="exact"/>
        <w:rPr>
          <w:b/>
          <w:sz w:val="20"/>
          <w:szCs w:val="22"/>
        </w:rPr>
      </w:pPr>
      <w:r w:rsidRPr="009347AA">
        <w:rPr>
          <w:sz w:val="20"/>
          <w:szCs w:val="22"/>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9347AA">
        <w:rPr>
          <w:b/>
          <w:sz w:val="20"/>
          <w:szCs w:val="22"/>
        </w:rPr>
        <w:t xml:space="preserve"> </w:t>
      </w:r>
      <w:r w:rsidRPr="009347AA">
        <w:rPr>
          <w:sz w:val="20"/>
          <w:szCs w:val="22"/>
        </w:rPr>
        <w:t>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CD2FC6" w:rsidRPr="009347AA" w:rsidRDefault="00CD2FC6" w:rsidP="00CD2FC6">
      <w:pPr>
        <w:spacing w:after="80" w:line="240" w:lineRule="exact"/>
        <w:rPr>
          <w:sz w:val="20"/>
          <w:szCs w:val="22"/>
        </w:rPr>
      </w:pPr>
      <w:r w:rsidRPr="009347AA">
        <w:rPr>
          <w:b/>
          <w:sz w:val="20"/>
          <w:szCs w:val="22"/>
        </w:rPr>
        <w:t>Keywords:</w:t>
      </w:r>
      <w:r w:rsidRPr="009347AA">
        <w:rPr>
          <w:sz w:val="20"/>
          <w:szCs w:val="22"/>
        </w:rPr>
        <w:t xml:space="preserve"> low case, comma, paper template, abstract, keywords, introduction</w:t>
      </w:r>
    </w:p>
    <w:p w:rsidR="00CD2FC6" w:rsidRPr="009347AA" w:rsidRDefault="00CD2FC6" w:rsidP="00CD2FC6">
      <w:pPr>
        <w:spacing w:after="80" w:line="240" w:lineRule="exact"/>
        <w:outlineLvl w:val="0"/>
        <w:rPr>
          <w:b/>
          <w:bCs/>
          <w:sz w:val="20"/>
          <w:szCs w:val="22"/>
        </w:rPr>
      </w:pPr>
      <w:r w:rsidRPr="009347AA">
        <w:rPr>
          <w:b/>
          <w:bCs/>
          <w:sz w:val="20"/>
          <w:szCs w:val="22"/>
        </w:rPr>
        <w:t>1. Introduction</w:t>
      </w:r>
    </w:p>
    <w:p w:rsidR="00CD2FC6" w:rsidRPr="009347AA" w:rsidRDefault="00CD2FC6" w:rsidP="00CD2FC6">
      <w:pPr>
        <w:spacing w:after="80" w:line="240" w:lineRule="exact"/>
        <w:outlineLvl w:val="0"/>
        <w:rPr>
          <w:i/>
          <w:sz w:val="20"/>
        </w:rPr>
      </w:pPr>
      <w:r w:rsidRPr="009347AA">
        <w:rPr>
          <w:i/>
          <w:sz w:val="20"/>
        </w:rPr>
        <w:t>1.1 Introduce the Problem</w:t>
      </w:r>
    </w:p>
    <w:p w:rsidR="00CD2FC6" w:rsidRPr="009347AA" w:rsidRDefault="00CD2FC6" w:rsidP="00CD2FC6">
      <w:pPr>
        <w:spacing w:after="80" w:line="240" w:lineRule="exact"/>
        <w:rPr>
          <w:sz w:val="20"/>
        </w:rPr>
      </w:pPr>
      <w:r w:rsidRPr="009347AA">
        <w:rPr>
          <w:sz w:val="20"/>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9347AA">
        <w:rPr>
          <w:rFonts w:hint="eastAsia"/>
          <w:iCs/>
          <w:sz w:val="20"/>
        </w:rPr>
        <w:t xml:space="preserve"> </w:t>
      </w:r>
      <w:r w:rsidRPr="009347AA">
        <w:rPr>
          <w:iCs/>
          <w:sz w:val="20"/>
        </w:rPr>
        <w:t>(</w:t>
      </w:r>
      <w:r w:rsidRPr="009347AA">
        <w:rPr>
          <w:sz w:val="20"/>
          <w:szCs w:val="20"/>
        </w:rPr>
        <w:t>Beck &amp; Sales, 2001</w:t>
      </w:r>
      <w:r w:rsidRPr="009347AA">
        <w:rPr>
          <w:rFonts w:hint="eastAsia"/>
          <w:sz w:val="20"/>
          <w:szCs w:val="20"/>
        </w:rPr>
        <w:t>, p. 100</w:t>
      </w:r>
      <w:r w:rsidRPr="009347AA">
        <w:rPr>
          <w:iCs/>
          <w:sz w:val="20"/>
        </w:rPr>
        <w:t>)</w:t>
      </w:r>
      <w:r w:rsidRPr="009347AA">
        <w:rPr>
          <w:sz w:val="20"/>
        </w:rPr>
        <w:t>:</w:t>
      </w:r>
    </w:p>
    <w:p w:rsidR="00CD2FC6" w:rsidRPr="009347AA" w:rsidRDefault="00CD2FC6" w:rsidP="00CD2FC6">
      <w:pPr>
        <w:numPr>
          <w:ilvl w:val="0"/>
          <w:numId w:val="2"/>
        </w:numPr>
        <w:spacing w:after="80" w:line="240" w:lineRule="exact"/>
        <w:ind w:left="0" w:firstLine="0"/>
        <w:rPr>
          <w:sz w:val="20"/>
        </w:rPr>
      </w:pPr>
      <w:r w:rsidRPr="009347AA">
        <w:rPr>
          <w:sz w:val="20"/>
        </w:rPr>
        <w:t>Why is this problem important?</w:t>
      </w:r>
    </w:p>
    <w:p w:rsidR="00CD2FC6" w:rsidRPr="009347AA" w:rsidRDefault="00CD2FC6" w:rsidP="00CD2FC6">
      <w:pPr>
        <w:numPr>
          <w:ilvl w:val="0"/>
          <w:numId w:val="2"/>
        </w:numPr>
        <w:spacing w:after="80" w:line="240" w:lineRule="exact"/>
        <w:ind w:left="0" w:firstLine="0"/>
        <w:rPr>
          <w:sz w:val="20"/>
        </w:rPr>
      </w:pPr>
      <w:r w:rsidRPr="009347AA">
        <w:rPr>
          <w:sz w:val="20"/>
        </w:rPr>
        <w:t>How does the study relate to previous work in the area? If other aspects of this study have been reported previously, how does this report differ from, and build on, the earlier report?</w:t>
      </w:r>
    </w:p>
    <w:p w:rsidR="00CD2FC6" w:rsidRPr="009347AA" w:rsidRDefault="00CD2FC6" w:rsidP="00CD2FC6">
      <w:pPr>
        <w:numPr>
          <w:ilvl w:val="0"/>
          <w:numId w:val="2"/>
        </w:numPr>
        <w:spacing w:after="80" w:line="240" w:lineRule="exact"/>
        <w:ind w:left="0" w:firstLine="0"/>
        <w:rPr>
          <w:sz w:val="20"/>
        </w:rPr>
      </w:pPr>
      <w:r w:rsidRPr="009347AA">
        <w:rPr>
          <w:sz w:val="20"/>
        </w:rPr>
        <w:t>What are the primary and secondary hypotheses and objectives of the study, and what, if any, are the links to theory?</w:t>
      </w:r>
    </w:p>
    <w:p w:rsidR="00CD2FC6" w:rsidRPr="009347AA" w:rsidRDefault="00CD2FC6" w:rsidP="00CD2FC6">
      <w:pPr>
        <w:numPr>
          <w:ilvl w:val="0"/>
          <w:numId w:val="2"/>
        </w:numPr>
        <w:spacing w:after="80" w:line="240" w:lineRule="exact"/>
        <w:ind w:left="0" w:firstLine="0"/>
        <w:rPr>
          <w:sz w:val="20"/>
        </w:rPr>
      </w:pPr>
      <w:r w:rsidRPr="009347AA">
        <w:rPr>
          <w:sz w:val="20"/>
        </w:rPr>
        <w:t>How do the hypotheses and research design relate to one another?</w:t>
      </w:r>
    </w:p>
    <w:p w:rsidR="00CD2FC6" w:rsidRPr="009347AA" w:rsidRDefault="00CD2FC6" w:rsidP="00CD2FC6">
      <w:pPr>
        <w:numPr>
          <w:ilvl w:val="0"/>
          <w:numId w:val="2"/>
        </w:numPr>
        <w:spacing w:after="80" w:line="240" w:lineRule="exact"/>
        <w:ind w:left="0" w:firstLine="0"/>
        <w:rPr>
          <w:sz w:val="20"/>
        </w:rPr>
      </w:pPr>
      <w:r w:rsidRPr="009347AA">
        <w:rPr>
          <w:sz w:val="20"/>
        </w:rPr>
        <w:t>What are the theoretical and practical implications of the study?</w:t>
      </w:r>
    </w:p>
    <w:p w:rsidR="00CD2FC6" w:rsidRPr="009347AA" w:rsidRDefault="00CD2FC6" w:rsidP="00CD2FC6">
      <w:pPr>
        <w:spacing w:after="80" w:line="240" w:lineRule="exact"/>
        <w:rPr>
          <w:iCs/>
          <w:sz w:val="20"/>
        </w:rPr>
      </w:pPr>
      <w:r w:rsidRPr="009347AA">
        <w:rPr>
          <w:sz w:val="20"/>
        </w:rPr>
        <w:t>A good introduction answers these questions in just a few pages and, by summarizing the relevant arguments and the past evidence, gives the reader a firm sense of What was done and why</w:t>
      </w:r>
      <w:r w:rsidRPr="009347AA">
        <w:rPr>
          <w:iCs/>
          <w:sz w:val="20"/>
        </w:rPr>
        <w:t xml:space="preserve"> (</w:t>
      </w:r>
      <w:bookmarkStart w:id="4" w:name="OLE_LINK225"/>
      <w:bookmarkStart w:id="5" w:name="OLE_LINK226"/>
      <w:r w:rsidRPr="009347AA">
        <w:rPr>
          <w:sz w:val="20"/>
          <w:szCs w:val="20"/>
        </w:rPr>
        <w:t xml:space="preserve">Beck &amp; Sales, </w:t>
      </w:r>
      <w:bookmarkEnd w:id="4"/>
      <w:bookmarkEnd w:id="5"/>
      <w:r w:rsidRPr="009347AA">
        <w:rPr>
          <w:sz w:val="20"/>
          <w:szCs w:val="20"/>
        </w:rPr>
        <w:t>2001</w:t>
      </w:r>
      <w:r w:rsidRPr="009347AA">
        <w:rPr>
          <w:rFonts w:hint="eastAsia"/>
          <w:sz w:val="20"/>
          <w:szCs w:val="20"/>
        </w:rPr>
        <w:t>, pp. 100-102</w:t>
      </w:r>
      <w:r w:rsidRPr="009347AA">
        <w:rPr>
          <w:iCs/>
          <w:sz w:val="20"/>
        </w:rPr>
        <w:t>)</w:t>
      </w:r>
      <w:r w:rsidRPr="009347AA">
        <w:rPr>
          <w:sz w:val="20"/>
        </w:rPr>
        <w:t>.</w:t>
      </w:r>
      <w:r w:rsidRPr="009347AA">
        <w:rPr>
          <w:i/>
          <w:iCs/>
          <w:sz w:val="20"/>
        </w:rPr>
        <w:t xml:space="preserve"> </w:t>
      </w:r>
    </w:p>
    <w:p w:rsidR="00CD2FC6" w:rsidRPr="009347AA" w:rsidRDefault="00CD2FC6" w:rsidP="00CD2FC6">
      <w:pPr>
        <w:spacing w:after="80" w:line="240" w:lineRule="exact"/>
        <w:outlineLvl w:val="0"/>
        <w:rPr>
          <w:i/>
          <w:iCs/>
          <w:sz w:val="20"/>
        </w:rPr>
      </w:pPr>
      <w:r w:rsidRPr="009347AA">
        <w:rPr>
          <w:i/>
          <w:iCs/>
          <w:sz w:val="20"/>
        </w:rPr>
        <w:t>1.2 Explore Importance of the Problem</w:t>
      </w:r>
    </w:p>
    <w:p w:rsidR="00CD2FC6" w:rsidRPr="009347AA" w:rsidRDefault="00CD2FC6" w:rsidP="00CD2FC6">
      <w:pPr>
        <w:spacing w:after="80" w:line="240" w:lineRule="exact"/>
        <w:rPr>
          <w:iCs/>
          <w:sz w:val="20"/>
        </w:rPr>
      </w:pPr>
      <w:r w:rsidRPr="009347AA">
        <w:rPr>
          <w:iCs/>
          <w:sz w:val="20"/>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w:t>
      </w:r>
      <w:r w:rsidRPr="009347AA">
        <w:rPr>
          <w:iCs/>
          <w:sz w:val="20"/>
        </w:rPr>
        <w:lastRenderedPageBreak/>
        <w:t xml:space="preserve">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CD2FC6" w:rsidRPr="009347AA" w:rsidRDefault="00CD2FC6" w:rsidP="00CD2FC6">
      <w:pPr>
        <w:spacing w:after="80" w:line="240" w:lineRule="exact"/>
        <w:outlineLvl w:val="0"/>
        <w:rPr>
          <w:i/>
          <w:iCs/>
          <w:sz w:val="20"/>
        </w:rPr>
      </w:pPr>
      <w:r w:rsidRPr="009347AA">
        <w:rPr>
          <w:i/>
          <w:iCs/>
          <w:sz w:val="20"/>
        </w:rPr>
        <w:t>1.3 Describe Relevant Scholarship</w:t>
      </w:r>
    </w:p>
    <w:p w:rsidR="00CD2FC6" w:rsidRPr="009347AA" w:rsidRDefault="00CD2FC6" w:rsidP="00CD2FC6">
      <w:pPr>
        <w:spacing w:after="80" w:line="240" w:lineRule="exact"/>
        <w:rPr>
          <w:iCs/>
          <w:sz w:val="20"/>
        </w:rPr>
      </w:pPr>
      <w:r w:rsidRPr="009347AA">
        <w:rPr>
          <w:iCs/>
          <w:sz w:val="20"/>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 xml:space="preserve">). Do not let the goal of brevity lead you to write a statement intelligible only to the specialist. </w:t>
      </w:r>
    </w:p>
    <w:p w:rsidR="00CD2FC6" w:rsidRPr="009347AA" w:rsidRDefault="00CD2FC6" w:rsidP="00CD2FC6">
      <w:pPr>
        <w:spacing w:after="80" w:line="240" w:lineRule="exact"/>
        <w:outlineLvl w:val="0"/>
        <w:rPr>
          <w:i/>
          <w:iCs/>
          <w:sz w:val="20"/>
        </w:rPr>
      </w:pPr>
      <w:r w:rsidRPr="009347AA">
        <w:rPr>
          <w:i/>
          <w:iCs/>
          <w:sz w:val="20"/>
        </w:rPr>
        <w:t>1.4 State Hypotheses and Their Correspondence to Research Design</w:t>
      </w:r>
    </w:p>
    <w:p w:rsidR="00CD2FC6" w:rsidRPr="009347AA" w:rsidRDefault="00CD2FC6" w:rsidP="00CD2FC6">
      <w:pPr>
        <w:spacing w:after="80" w:line="240" w:lineRule="exact"/>
        <w:rPr>
          <w:iCs/>
          <w:sz w:val="20"/>
        </w:rPr>
      </w:pPr>
      <w:r w:rsidRPr="009347AA">
        <w:rPr>
          <w:iCs/>
          <w:sz w:val="20"/>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rsidR="00CD2FC6" w:rsidRPr="009347AA" w:rsidRDefault="00CD2FC6" w:rsidP="00CD2FC6">
      <w:pPr>
        <w:spacing w:after="80" w:line="240" w:lineRule="exact"/>
        <w:outlineLvl w:val="0"/>
        <w:rPr>
          <w:b/>
          <w:iCs/>
          <w:sz w:val="20"/>
        </w:rPr>
      </w:pPr>
      <w:r w:rsidRPr="009347AA">
        <w:rPr>
          <w:b/>
          <w:iCs/>
          <w:sz w:val="20"/>
        </w:rPr>
        <w:t>2. Method</w:t>
      </w:r>
    </w:p>
    <w:p w:rsidR="00CD2FC6" w:rsidRPr="009347AA" w:rsidRDefault="00CD2FC6" w:rsidP="00CD2FC6">
      <w:pPr>
        <w:spacing w:after="80" w:line="240" w:lineRule="exact"/>
        <w:rPr>
          <w:iCs/>
          <w:sz w:val="20"/>
        </w:rPr>
      </w:pPr>
      <w:r w:rsidRPr="009347AA">
        <w:rPr>
          <w:iCs/>
          <w:sz w:val="20"/>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CD2FC6" w:rsidRPr="009347AA" w:rsidRDefault="00CD2FC6" w:rsidP="00CD2FC6">
      <w:pPr>
        <w:spacing w:after="80" w:line="240" w:lineRule="exact"/>
        <w:outlineLvl w:val="0"/>
        <w:rPr>
          <w:i/>
          <w:iCs/>
          <w:sz w:val="20"/>
        </w:rPr>
      </w:pPr>
      <w:r w:rsidRPr="009347AA">
        <w:rPr>
          <w:i/>
          <w:iCs/>
          <w:sz w:val="20"/>
        </w:rPr>
        <w:t>2.1 Identify Subsections</w:t>
      </w:r>
    </w:p>
    <w:p w:rsidR="00CD2FC6" w:rsidRPr="009347AA" w:rsidRDefault="00CD2FC6" w:rsidP="00CD2FC6">
      <w:pPr>
        <w:spacing w:after="80" w:line="240" w:lineRule="exact"/>
        <w:rPr>
          <w:iCs/>
          <w:sz w:val="20"/>
        </w:rPr>
      </w:pPr>
      <w:r w:rsidRPr="009347AA">
        <w:rPr>
          <w:iCs/>
          <w:sz w:val="20"/>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CD2FC6" w:rsidRPr="009347AA" w:rsidRDefault="00CD2FC6" w:rsidP="00CD2FC6">
      <w:pPr>
        <w:spacing w:after="80" w:line="240" w:lineRule="exact"/>
        <w:rPr>
          <w:iCs/>
          <w:sz w:val="20"/>
        </w:rPr>
      </w:pPr>
      <w:r w:rsidRPr="009347AA">
        <w:rPr>
          <w:iCs/>
          <w:sz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CD2FC6" w:rsidRPr="009347AA" w:rsidRDefault="00CD2FC6" w:rsidP="00CD2FC6">
      <w:pPr>
        <w:spacing w:after="80" w:line="240" w:lineRule="exact"/>
        <w:outlineLvl w:val="0"/>
        <w:rPr>
          <w:i/>
          <w:iCs/>
          <w:sz w:val="20"/>
        </w:rPr>
      </w:pPr>
      <w:r w:rsidRPr="009347AA">
        <w:rPr>
          <w:i/>
          <w:iCs/>
          <w:sz w:val="20"/>
        </w:rPr>
        <w:t>2.2 Participant (Subject) Characteristics</w:t>
      </w:r>
    </w:p>
    <w:p w:rsidR="00CD2FC6" w:rsidRPr="009347AA" w:rsidRDefault="00CD2FC6" w:rsidP="00CD2FC6">
      <w:pPr>
        <w:spacing w:after="80" w:line="240" w:lineRule="exact"/>
        <w:rPr>
          <w:iCs/>
          <w:sz w:val="20"/>
        </w:rPr>
      </w:pPr>
      <w:r w:rsidRPr="009347AA">
        <w:rPr>
          <w:iCs/>
          <w:sz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CD2FC6" w:rsidRPr="009347AA" w:rsidRDefault="00CD2FC6" w:rsidP="00CD2FC6">
      <w:pPr>
        <w:spacing w:after="80" w:line="240" w:lineRule="exact"/>
        <w:outlineLvl w:val="0"/>
        <w:rPr>
          <w:i/>
          <w:iCs/>
          <w:sz w:val="20"/>
        </w:rPr>
      </w:pPr>
      <w:r w:rsidRPr="009347AA">
        <w:rPr>
          <w:i/>
          <w:iCs/>
          <w:sz w:val="20"/>
        </w:rPr>
        <w:t>2.3 Sampling Procedures</w:t>
      </w:r>
    </w:p>
    <w:p w:rsidR="00CD2FC6" w:rsidRPr="009347AA" w:rsidRDefault="00CD2FC6" w:rsidP="00CD2FC6">
      <w:pPr>
        <w:spacing w:after="80" w:line="240" w:lineRule="exact"/>
        <w:rPr>
          <w:iCs/>
          <w:sz w:val="20"/>
        </w:rPr>
      </w:pPr>
      <w:r w:rsidRPr="009347AA">
        <w:rPr>
          <w:iCs/>
          <w:sz w:val="20"/>
        </w:rPr>
        <w:lastRenderedPageBreak/>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CD2FC6" w:rsidRPr="009347AA" w:rsidRDefault="00CD2FC6" w:rsidP="00CD2FC6">
      <w:pPr>
        <w:spacing w:after="80" w:line="240" w:lineRule="exact"/>
        <w:outlineLvl w:val="0"/>
        <w:rPr>
          <w:iCs/>
          <w:sz w:val="20"/>
        </w:rPr>
      </w:pPr>
      <w:r w:rsidRPr="009347AA">
        <w:rPr>
          <w:rFonts w:hint="eastAsia"/>
          <w:iCs/>
          <w:sz w:val="20"/>
        </w:rPr>
        <w:t>2.3.1</w:t>
      </w:r>
      <w:r w:rsidRPr="009347AA">
        <w:rPr>
          <w:iCs/>
          <w:sz w:val="20"/>
        </w:rPr>
        <w:t xml:space="preserve"> Sample Size, Power, and Precision </w:t>
      </w:r>
    </w:p>
    <w:p w:rsidR="00CD2FC6" w:rsidRPr="009347AA" w:rsidRDefault="00CD2FC6" w:rsidP="00CD2FC6">
      <w:pPr>
        <w:spacing w:after="80" w:line="240" w:lineRule="exact"/>
        <w:rPr>
          <w:iCs/>
          <w:sz w:val="20"/>
        </w:rPr>
      </w:pPr>
      <w:r w:rsidRPr="009347AA">
        <w:rPr>
          <w:iCs/>
          <w:sz w:val="20"/>
        </w:rPr>
        <w:t xml:space="preserve">Along with the description of subjects, give the </w:t>
      </w:r>
      <w:r w:rsidRPr="009347AA">
        <w:rPr>
          <w:rFonts w:hint="eastAsia"/>
          <w:iCs/>
          <w:sz w:val="20"/>
        </w:rPr>
        <w:t>m</w:t>
      </w:r>
      <w:r w:rsidRPr="009347AA">
        <w:rPr>
          <w:iCs/>
          <w:sz w:val="20"/>
        </w:rPr>
        <w: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CD2FC6" w:rsidRPr="009347AA" w:rsidRDefault="00CD2FC6" w:rsidP="00CD2FC6">
      <w:pPr>
        <w:spacing w:after="80" w:line="240" w:lineRule="exact"/>
        <w:outlineLvl w:val="0"/>
        <w:rPr>
          <w:iCs/>
          <w:sz w:val="20"/>
        </w:rPr>
      </w:pPr>
      <w:r w:rsidRPr="009347AA">
        <w:rPr>
          <w:rFonts w:hint="eastAsia"/>
          <w:iCs/>
          <w:sz w:val="20"/>
        </w:rPr>
        <w:t>2.3.2</w:t>
      </w:r>
      <w:r w:rsidRPr="009347AA">
        <w:t xml:space="preserve"> </w:t>
      </w:r>
      <w:r w:rsidRPr="009347AA">
        <w:rPr>
          <w:iCs/>
          <w:sz w:val="20"/>
        </w:rPr>
        <w:t>Measures and Covariates</w:t>
      </w:r>
    </w:p>
    <w:p w:rsidR="00CD2FC6" w:rsidRPr="009347AA" w:rsidRDefault="00CD2FC6" w:rsidP="00CD2FC6">
      <w:pPr>
        <w:spacing w:after="80" w:line="240" w:lineRule="exact"/>
        <w:rPr>
          <w:iCs/>
          <w:sz w:val="20"/>
        </w:rPr>
      </w:pPr>
      <w:r w:rsidRPr="009347AA">
        <w:rPr>
          <w:iCs/>
          <w:sz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CD2FC6" w:rsidRPr="009347AA" w:rsidRDefault="00CD2FC6" w:rsidP="00CD2FC6">
      <w:pPr>
        <w:spacing w:after="80" w:line="240" w:lineRule="exact"/>
        <w:outlineLvl w:val="0"/>
        <w:rPr>
          <w:iCs/>
          <w:sz w:val="20"/>
        </w:rPr>
      </w:pPr>
      <w:r w:rsidRPr="009347AA">
        <w:rPr>
          <w:rFonts w:hint="eastAsia"/>
          <w:iCs/>
          <w:sz w:val="20"/>
        </w:rPr>
        <w:t>2.3.3</w:t>
      </w:r>
      <w:r w:rsidRPr="009347AA">
        <w:rPr>
          <w:iCs/>
          <w:sz w:val="20"/>
        </w:rPr>
        <w:t xml:space="preserve"> Research Design</w:t>
      </w:r>
    </w:p>
    <w:p w:rsidR="00CD2FC6" w:rsidRPr="009347AA" w:rsidRDefault="00CD2FC6" w:rsidP="00CD2FC6">
      <w:pPr>
        <w:spacing w:after="80" w:line="240" w:lineRule="exact"/>
        <w:rPr>
          <w:iCs/>
          <w:sz w:val="20"/>
        </w:rPr>
      </w:pPr>
      <w:r w:rsidRPr="009347AA">
        <w:rPr>
          <w:iCs/>
          <w:sz w:val="20"/>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CD2FC6" w:rsidRPr="009347AA" w:rsidRDefault="00CD2FC6" w:rsidP="00CD2FC6">
      <w:pPr>
        <w:spacing w:after="80" w:line="240" w:lineRule="exact"/>
        <w:outlineLvl w:val="0"/>
        <w:rPr>
          <w:iCs/>
          <w:sz w:val="20"/>
        </w:rPr>
      </w:pPr>
      <w:r w:rsidRPr="009347AA">
        <w:rPr>
          <w:rFonts w:hint="eastAsia"/>
          <w:iCs/>
          <w:sz w:val="20"/>
        </w:rPr>
        <w:t xml:space="preserve">2.3.4 </w:t>
      </w:r>
      <w:r w:rsidRPr="009347AA">
        <w:rPr>
          <w:iCs/>
          <w:sz w:val="20"/>
        </w:rPr>
        <w:t>Experimental Manipulations or Interventions</w:t>
      </w:r>
    </w:p>
    <w:p w:rsidR="00CD2FC6" w:rsidRPr="009347AA" w:rsidRDefault="00CD2FC6" w:rsidP="00CD2FC6">
      <w:pPr>
        <w:spacing w:after="80" w:line="240" w:lineRule="exact"/>
        <w:rPr>
          <w:iCs/>
          <w:sz w:val="20"/>
        </w:rPr>
      </w:pPr>
      <w:r w:rsidRPr="009347AA">
        <w:rPr>
          <w:iCs/>
          <w:sz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CD2FC6" w:rsidRPr="009347AA" w:rsidRDefault="00CD2FC6" w:rsidP="00CD2FC6">
      <w:pPr>
        <w:spacing w:after="80" w:line="240" w:lineRule="exact"/>
        <w:rPr>
          <w:iCs/>
          <w:sz w:val="20"/>
        </w:rPr>
      </w:pPr>
      <w:r w:rsidRPr="009347AA">
        <w:rPr>
          <w:iCs/>
          <w:sz w:val="20"/>
        </w:rPr>
        <w:t xml:space="preserve">The </w:t>
      </w:r>
      <w:r w:rsidRPr="009347AA">
        <w:rPr>
          <w:rFonts w:hint="eastAsia"/>
          <w:iCs/>
          <w:sz w:val="20"/>
        </w:rPr>
        <w:t xml:space="preserve">text </w:t>
      </w:r>
      <w:r w:rsidRPr="009347AA">
        <w:rPr>
          <w:iCs/>
          <w:sz w:val="20"/>
        </w:rPr>
        <w:t xml:space="preserve">size of formula should be similar with </w:t>
      </w:r>
      <w:r w:rsidRPr="009347AA">
        <w:rPr>
          <w:rFonts w:hint="eastAsia"/>
          <w:iCs/>
          <w:sz w:val="20"/>
        </w:rPr>
        <w:t xml:space="preserve">normal </w:t>
      </w:r>
      <w:r w:rsidRPr="009347AA">
        <w:rPr>
          <w:iCs/>
          <w:sz w:val="20"/>
        </w:rPr>
        <w:t>text size.</w:t>
      </w:r>
      <w:r w:rsidRPr="009347AA">
        <w:rPr>
          <w:rFonts w:hint="eastAsia"/>
          <w:iCs/>
          <w:sz w:val="20"/>
        </w:rPr>
        <w:t xml:space="preserve"> The formula should be placed in the middle and</w:t>
      </w:r>
      <w:r w:rsidRPr="009347AA">
        <w:rPr>
          <w:iCs/>
          <w:sz w:val="20"/>
        </w:rPr>
        <w:t xml:space="preserve"> serial number on the </w:t>
      </w:r>
      <w:r w:rsidRPr="009347AA">
        <w:rPr>
          <w:rFonts w:hint="eastAsia"/>
          <w:iCs/>
          <w:sz w:val="20"/>
        </w:rPr>
        <w:t>right. For example:</w:t>
      </w:r>
    </w:p>
    <w:p w:rsidR="00CD2FC6" w:rsidRPr="009347AA" w:rsidRDefault="00CD2FC6" w:rsidP="00CD2FC6">
      <w:pPr>
        <w:wordWrap w:val="0"/>
        <w:jc w:val="right"/>
        <w:rPr>
          <w:sz w:val="20"/>
        </w:rPr>
      </w:pPr>
      <w:r w:rsidRPr="009347AA">
        <w:rPr>
          <w:rFonts w:hint="eastAsia"/>
          <w:i/>
          <w:sz w:val="20"/>
        </w:rPr>
        <w:t>a</w:t>
      </w:r>
      <w:r w:rsidRPr="009347AA">
        <w:rPr>
          <w:rFonts w:hint="eastAsia"/>
          <w:i/>
          <w:sz w:val="20"/>
          <w:vertAlign w:val="superscript"/>
        </w:rPr>
        <w:t>2</w:t>
      </w:r>
      <w:r w:rsidRPr="009347AA">
        <w:rPr>
          <w:rFonts w:hint="eastAsia"/>
          <w:i/>
          <w:sz w:val="20"/>
        </w:rPr>
        <w:t>+b</w:t>
      </w:r>
      <w:r w:rsidRPr="009347AA">
        <w:rPr>
          <w:rFonts w:hint="eastAsia"/>
          <w:i/>
          <w:sz w:val="20"/>
          <w:vertAlign w:val="superscript"/>
        </w:rPr>
        <w:t>2</w:t>
      </w:r>
      <w:r w:rsidRPr="009347AA">
        <w:rPr>
          <w:rFonts w:hint="eastAsia"/>
          <w:i/>
          <w:sz w:val="20"/>
        </w:rPr>
        <w:t>=c</w:t>
      </w:r>
      <w:r w:rsidRPr="009347AA">
        <w:rPr>
          <w:rFonts w:hint="eastAsia"/>
          <w:i/>
          <w:sz w:val="20"/>
          <w:vertAlign w:val="superscript"/>
        </w:rPr>
        <w:t>2</w:t>
      </w:r>
      <w:r w:rsidR="00A53A7F" w:rsidRPr="009347AA">
        <w:rPr>
          <w:sz w:val="20"/>
        </w:rPr>
        <w:fldChar w:fldCharType="begin"/>
      </w:r>
      <w:r w:rsidRPr="009347AA">
        <w:rPr>
          <w:sz w:val="20"/>
        </w:rPr>
        <w:instrText xml:space="preserve"> QUOTE </w:instrText>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instrText xml:space="preserve"> </w:instrText>
      </w:r>
      <w:r w:rsidR="00A53A7F" w:rsidRPr="009347AA">
        <w:rPr>
          <w:sz w:val="20"/>
        </w:rPr>
        <w:fldChar w:fldCharType="end"/>
      </w:r>
      <w:r w:rsidRPr="009347AA">
        <w:rPr>
          <w:rFonts w:hint="eastAsia"/>
          <w:sz w:val="20"/>
        </w:rPr>
        <w:t xml:space="preserve">                                      (1)</w:t>
      </w:r>
    </w:p>
    <w:p w:rsidR="00CD2FC6" w:rsidRPr="009347AA" w:rsidRDefault="00CD2FC6" w:rsidP="00CD2FC6">
      <w:pPr>
        <w:spacing w:after="80" w:line="240" w:lineRule="exact"/>
        <w:outlineLvl w:val="0"/>
        <w:rPr>
          <w:b/>
          <w:iCs/>
          <w:sz w:val="20"/>
        </w:rPr>
      </w:pPr>
      <w:r w:rsidRPr="009347AA">
        <w:rPr>
          <w:b/>
          <w:iCs/>
          <w:sz w:val="20"/>
        </w:rPr>
        <w:t>3. Results</w:t>
      </w:r>
    </w:p>
    <w:p w:rsidR="00CD2FC6" w:rsidRPr="009347AA" w:rsidRDefault="00CD2FC6" w:rsidP="00CD2FC6">
      <w:pPr>
        <w:spacing w:after="80" w:line="240" w:lineRule="exact"/>
        <w:rPr>
          <w:iCs/>
          <w:sz w:val="20"/>
        </w:rPr>
      </w:pPr>
      <w:r w:rsidRPr="009347AA">
        <w:rPr>
          <w:iCs/>
          <w:sz w:val="20"/>
        </w:rPr>
        <w:t>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w:t>
      </w:r>
      <w:r w:rsidRPr="009347AA">
        <w:rPr>
          <w:rFonts w:hint="eastAsia"/>
          <w:iCs/>
          <w:sz w:val="20"/>
        </w:rPr>
        <w:t>in</w:t>
      </w:r>
      <w:r w:rsidRPr="009347AA">
        <w:rPr>
          <w:iCs/>
          <w:sz w:val="20"/>
        </w:rPr>
        <w:t>d</w:t>
      </w:r>
      <w:r w:rsidRPr="009347AA">
        <w:rPr>
          <w:rFonts w:hint="eastAsia"/>
          <w:iCs/>
          <w:sz w:val="20"/>
        </w:rPr>
        <w:t>in</w:t>
      </w:r>
      <w:r w:rsidRPr="009347AA">
        <w:rPr>
          <w:iCs/>
          <w:sz w:val="20"/>
        </w:rPr>
        <w:t xml:space="preserve">gs) when theory predicts large (or statistically significant) ones. Do not hide uncomfortable results by omission. Do not include individual scores or raw data </w:t>
      </w:r>
      <w:bookmarkStart w:id="6" w:name="OLE_LINK227"/>
      <w:bookmarkStart w:id="7" w:name="OLE_LINK228"/>
      <w:r w:rsidRPr="009347AA">
        <w:rPr>
          <w:iCs/>
          <w:sz w:val="20"/>
        </w:rPr>
        <w:t>with the except</w:t>
      </w:r>
      <w:r w:rsidRPr="009347AA">
        <w:rPr>
          <w:rFonts w:hint="eastAsia"/>
          <w:iCs/>
          <w:sz w:val="20"/>
        </w:rPr>
        <w:t>io</w:t>
      </w:r>
      <w:r w:rsidRPr="009347AA">
        <w:rPr>
          <w:iCs/>
          <w:sz w:val="20"/>
        </w:rPr>
        <w:t>n</w:t>
      </w:r>
      <w:bookmarkEnd w:id="6"/>
      <w:bookmarkEnd w:id="7"/>
      <w:r w:rsidRPr="009347AA">
        <w:rPr>
          <w:iCs/>
          <w:sz w:val="20"/>
        </w:rPr>
        <w:t>, for example, of single-case designs or illustrative examples. In the spirit of data shar</w:t>
      </w:r>
      <w:r w:rsidRPr="009347AA">
        <w:rPr>
          <w:rFonts w:hint="eastAsia"/>
          <w:iCs/>
          <w:sz w:val="20"/>
        </w:rPr>
        <w:t>i</w:t>
      </w:r>
      <w:r w:rsidRPr="009347AA">
        <w:rPr>
          <w:iCs/>
          <w:sz w:val="20"/>
        </w:rPr>
        <w:t>ng (encouraged by APA and other professional associations and sometimes required by funding agencies), raw data, including study characteristics and indivldual effect sizes used in a meta -analysis, can be made available on supplemental on</w:t>
      </w:r>
      <w:r w:rsidRPr="009347AA">
        <w:rPr>
          <w:rFonts w:hint="eastAsia"/>
          <w:iCs/>
          <w:sz w:val="20"/>
        </w:rPr>
        <w:t>li</w:t>
      </w:r>
      <w:r w:rsidRPr="009347AA">
        <w:rPr>
          <w:iCs/>
          <w:sz w:val="20"/>
        </w:rPr>
        <w:t>ne archives.</w:t>
      </w:r>
    </w:p>
    <w:p w:rsidR="00CD2FC6" w:rsidRPr="009347AA" w:rsidRDefault="00CD2FC6" w:rsidP="00CD2FC6">
      <w:pPr>
        <w:spacing w:after="80" w:line="240" w:lineRule="exact"/>
        <w:outlineLvl w:val="0"/>
        <w:rPr>
          <w:i/>
          <w:iCs/>
          <w:sz w:val="20"/>
        </w:rPr>
      </w:pPr>
      <w:r w:rsidRPr="009347AA">
        <w:rPr>
          <w:i/>
          <w:iCs/>
          <w:sz w:val="20"/>
        </w:rPr>
        <w:t>3.1</w:t>
      </w:r>
      <w:r w:rsidRPr="009347AA">
        <w:rPr>
          <w:i/>
        </w:rPr>
        <w:t xml:space="preserve"> </w:t>
      </w:r>
      <w:r w:rsidRPr="009347AA">
        <w:rPr>
          <w:i/>
          <w:iCs/>
          <w:sz w:val="20"/>
        </w:rPr>
        <w:t>Recruitment</w:t>
      </w:r>
    </w:p>
    <w:p w:rsidR="00CD2FC6" w:rsidRPr="009347AA" w:rsidRDefault="00CD2FC6" w:rsidP="00CD2FC6">
      <w:pPr>
        <w:spacing w:after="80" w:line="240" w:lineRule="exact"/>
        <w:rPr>
          <w:iCs/>
          <w:sz w:val="20"/>
        </w:rPr>
      </w:pPr>
      <w:r w:rsidRPr="009347AA">
        <w:rPr>
          <w:iCs/>
          <w:sz w:val="20"/>
        </w:rPr>
        <w:t>Provide dates defining the periods of recruitment and follow-up and the pnmary sources of the potential subjects, where appropriate. If these dates differ by group, provide the values for each group.</w:t>
      </w:r>
    </w:p>
    <w:p w:rsidR="00CD2FC6" w:rsidRPr="009347AA" w:rsidRDefault="00CD2FC6" w:rsidP="00CD2FC6">
      <w:pPr>
        <w:spacing w:after="80" w:line="240" w:lineRule="exact"/>
        <w:outlineLvl w:val="0"/>
        <w:rPr>
          <w:i/>
          <w:iCs/>
          <w:sz w:val="20"/>
        </w:rPr>
      </w:pPr>
      <w:r w:rsidRPr="009347AA">
        <w:rPr>
          <w:i/>
          <w:iCs/>
          <w:sz w:val="20"/>
        </w:rPr>
        <w:t>3.2</w:t>
      </w:r>
      <w:r w:rsidRPr="009347AA">
        <w:rPr>
          <w:i/>
        </w:rPr>
        <w:t xml:space="preserve"> </w:t>
      </w:r>
      <w:r w:rsidRPr="009347AA">
        <w:rPr>
          <w:i/>
          <w:iCs/>
          <w:sz w:val="20"/>
        </w:rPr>
        <w:t>Statistics and Data Analysis</w:t>
      </w:r>
    </w:p>
    <w:p w:rsidR="00CD2FC6" w:rsidRPr="009347AA" w:rsidRDefault="00CD2FC6" w:rsidP="00CD2FC6">
      <w:pPr>
        <w:spacing w:after="80" w:line="240" w:lineRule="exact"/>
        <w:rPr>
          <w:iCs/>
          <w:sz w:val="20"/>
        </w:rPr>
      </w:pPr>
      <w:r w:rsidRPr="009347AA">
        <w:rPr>
          <w:iCs/>
          <w:sz w:val="20"/>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w:t>
      </w:r>
      <w:r w:rsidRPr="009347AA">
        <w:rPr>
          <w:rFonts w:hint="eastAsia"/>
          <w:iCs/>
          <w:sz w:val="20"/>
        </w:rPr>
        <w:t>o</w:t>
      </w:r>
      <w:r w:rsidRPr="009347AA">
        <w:rPr>
          <w:iCs/>
          <w:sz w:val="20"/>
        </w:rPr>
        <w:t>ns being asked and the nature of the data collected. The methods used must support their analytic burdens, including robustness to violations of the assumptions that underlie them, and they must provide clear, unequivocal insights into the data.</w:t>
      </w:r>
    </w:p>
    <w:p w:rsidR="00CD2FC6" w:rsidRPr="009347AA" w:rsidRDefault="00CD2FC6" w:rsidP="00CD2FC6">
      <w:pPr>
        <w:spacing w:after="80" w:line="240" w:lineRule="exact"/>
        <w:outlineLvl w:val="0"/>
        <w:rPr>
          <w:i/>
          <w:iCs/>
          <w:sz w:val="20"/>
        </w:rPr>
      </w:pPr>
      <w:r w:rsidRPr="009347AA">
        <w:rPr>
          <w:i/>
          <w:iCs/>
          <w:sz w:val="20"/>
        </w:rPr>
        <w:t>3.3 Ancillary Analyses</w:t>
      </w:r>
    </w:p>
    <w:p w:rsidR="00CD2FC6" w:rsidRPr="009347AA" w:rsidRDefault="00CD2FC6" w:rsidP="00CD2FC6">
      <w:pPr>
        <w:spacing w:after="80" w:line="240" w:lineRule="exact"/>
        <w:rPr>
          <w:iCs/>
          <w:sz w:val="20"/>
        </w:rPr>
      </w:pPr>
      <w:r w:rsidRPr="009347AA">
        <w:rPr>
          <w:iCs/>
          <w:sz w:val="20"/>
        </w:rPr>
        <w:lastRenderedPageBreak/>
        <w:t>Report any other analyses performed, including subgroup analyses and adjusted analyses, indicating those that were pre</w:t>
      </w:r>
      <w:r w:rsidRPr="009347AA">
        <w:rPr>
          <w:rFonts w:hint="eastAsia"/>
          <w:iCs/>
          <w:sz w:val="20"/>
        </w:rPr>
        <w:t>-</w:t>
      </w:r>
      <w:r w:rsidRPr="009347AA">
        <w:rPr>
          <w:iCs/>
          <w:sz w:val="20"/>
        </w:rPr>
        <w:t>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CD2FC6" w:rsidRPr="009347AA" w:rsidRDefault="00CD2FC6" w:rsidP="00CD2FC6">
      <w:pPr>
        <w:spacing w:after="80" w:line="240" w:lineRule="exact"/>
        <w:outlineLvl w:val="0"/>
        <w:rPr>
          <w:i/>
          <w:iCs/>
          <w:sz w:val="20"/>
        </w:rPr>
      </w:pPr>
      <w:r w:rsidRPr="009347AA">
        <w:rPr>
          <w:i/>
          <w:iCs/>
          <w:sz w:val="20"/>
        </w:rPr>
        <w:t>3.4</w:t>
      </w:r>
      <w:r w:rsidRPr="009347AA">
        <w:rPr>
          <w:i/>
        </w:rPr>
        <w:t xml:space="preserve"> </w:t>
      </w:r>
      <w:r w:rsidRPr="009347AA">
        <w:rPr>
          <w:i/>
          <w:iCs/>
          <w:sz w:val="20"/>
        </w:rPr>
        <w:t>Participant Flow</w:t>
      </w:r>
    </w:p>
    <w:p w:rsidR="00CD2FC6" w:rsidRPr="009347AA" w:rsidRDefault="00CD2FC6" w:rsidP="00CD2FC6">
      <w:pPr>
        <w:spacing w:after="80" w:line="240" w:lineRule="exact"/>
        <w:rPr>
          <w:iCs/>
          <w:sz w:val="20"/>
        </w:rPr>
      </w:pPr>
      <w:r w:rsidRPr="009347AA">
        <w:rPr>
          <w:iCs/>
          <w:sz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CD2FC6" w:rsidRPr="009347AA" w:rsidRDefault="00CD2FC6" w:rsidP="00CD2FC6">
      <w:pPr>
        <w:spacing w:after="80" w:line="240" w:lineRule="exact"/>
        <w:outlineLvl w:val="0"/>
        <w:rPr>
          <w:i/>
          <w:iCs/>
          <w:sz w:val="20"/>
        </w:rPr>
      </w:pPr>
      <w:r w:rsidRPr="009347AA">
        <w:rPr>
          <w:i/>
          <w:iCs/>
          <w:sz w:val="20"/>
        </w:rPr>
        <w:t xml:space="preserve">3.5 Intervention or Manipulation Fidelity </w:t>
      </w:r>
    </w:p>
    <w:p w:rsidR="00CD2FC6" w:rsidRPr="009347AA" w:rsidRDefault="00CD2FC6" w:rsidP="00CD2FC6">
      <w:pPr>
        <w:spacing w:after="80" w:line="240" w:lineRule="exact"/>
        <w:rPr>
          <w:iCs/>
          <w:sz w:val="20"/>
        </w:rPr>
      </w:pPr>
      <w:r w:rsidRPr="009347AA">
        <w:rPr>
          <w:iCs/>
          <w:sz w:val="20"/>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CD2FC6" w:rsidRPr="009347AA" w:rsidRDefault="00CD2FC6" w:rsidP="00CD2FC6">
      <w:pPr>
        <w:spacing w:after="80" w:line="240" w:lineRule="exact"/>
        <w:outlineLvl w:val="0"/>
        <w:rPr>
          <w:i/>
          <w:iCs/>
          <w:sz w:val="20"/>
        </w:rPr>
      </w:pPr>
      <w:r w:rsidRPr="009347AA">
        <w:rPr>
          <w:i/>
          <w:iCs/>
          <w:sz w:val="20"/>
        </w:rPr>
        <w:t>3.6</w:t>
      </w:r>
      <w:r w:rsidRPr="009347AA">
        <w:rPr>
          <w:i/>
        </w:rPr>
        <w:t xml:space="preserve"> </w:t>
      </w:r>
      <w:r w:rsidRPr="009347AA">
        <w:rPr>
          <w:i/>
          <w:iCs/>
          <w:sz w:val="20"/>
        </w:rPr>
        <w:t>Baseline Data</w:t>
      </w:r>
    </w:p>
    <w:p w:rsidR="00CD2FC6" w:rsidRPr="009347AA" w:rsidRDefault="00CD2FC6" w:rsidP="00CD2FC6">
      <w:pPr>
        <w:spacing w:after="80" w:line="240" w:lineRule="exact"/>
        <w:rPr>
          <w:iCs/>
          <w:sz w:val="20"/>
        </w:rPr>
      </w:pPr>
      <w:r w:rsidRPr="009347AA">
        <w:rPr>
          <w:iCs/>
          <w:sz w:val="20"/>
        </w:rPr>
        <w:t>Be sure that baseline demographic and/or clinical characteristics of each group are provided.</w:t>
      </w:r>
    </w:p>
    <w:p w:rsidR="00CD2FC6" w:rsidRPr="009347AA" w:rsidRDefault="00CD2FC6" w:rsidP="00CD2FC6">
      <w:pPr>
        <w:spacing w:after="80" w:line="240" w:lineRule="exact"/>
        <w:outlineLvl w:val="0"/>
        <w:rPr>
          <w:iCs/>
          <w:sz w:val="20"/>
        </w:rPr>
      </w:pPr>
      <w:r w:rsidRPr="009347AA">
        <w:rPr>
          <w:iCs/>
          <w:sz w:val="20"/>
        </w:rPr>
        <w:t>3.</w:t>
      </w:r>
      <w:r w:rsidRPr="009347AA">
        <w:rPr>
          <w:rFonts w:hint="eastAsia"/>
          <w:iCs/>
          <w:sz w:val="20"/>
        </w:rPr>
        <w:t>6.1</w:t>
      </w:r>
      <w:r w:rsidRPr="009347AA">
        <w:rPr>
          <w:iCs/>
          <w:sz w:val="20"/>
        </w:rPr>
        <w:t xml:space="preserve"> Statistics and Data Analysis </w:t>
      </w:r>
    </w:p>
    <w:p w:rsidR="00CD2FC6" w:rsidRPr="009347AA" w:rsidRDefault="00CD2FC6" w:rsidP="00CD2FC6">
      <w:pPr>
        <w:spacing w:after="80" w:line="240" w:lineRule="exact"/>
        <w:rPr>
          <w:iCs/>
          <w:sz w:val="20"/>
        </w:rPr>
      </w:pPr>
      <w:r w:rsidRPr="009347AA">
        <w:rPr>
          <w:iCs/>
          <w:sz w:val="20"/>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CD2FC6" w:rsidRPr="009347AA" w:rsidRDefault="00CD2FC6" w:rsidP="00CD2FC6">
      <w:pPr>
        <w:spacing w:after="80" w:line="240" w:lineRule="exact"/>
        <w:outlineLvl w:val="0"/>
        <w:rPr>
          <w:iCs/>
          <w:sz w:val="20"/>
        </w:rPr>
      </w:pPr>
      <w:r w:rsidRPr="009347AA">
        <w:rPr>
          <w:rFonts w:hint="eastAsia"/>
          <w:iCs/>
          <w:sz w:val="20"/>
        </w:rPr>
        <w:t>3.6.2</w:t>
      </w:r>
      <w:r w:rsidRPr="009347AA">
        <w:rPr>
          <w:iCs/>
          <w:sz w:val="20"/>
        </w:rPr>
        <w:t xml:space="preserve"> Adverse Events </w:t>
      </w:r>
    </w:p>
    <w:p w:rsidR="00CD2FC6" w:rsidRPr="009347AA" w:rsidRDefault="00CD2FC6" w:rsidP="00CD2FC6">
      <w:pPr>
        <w:spacing w:after="80" w:line="240" w:lineRule="exact"/>
        <w:rPr>
          <w:iCs/>
          <w:sz w:val="20"/>
        </w:rPr>
      </w:pPr>
      <w:r w:rsidRPr="009347AA">
        <w:rPr>
          <w:iCs/>
          <w:sz w:val="20"/>
        </w:rPr>
        <w:t xml:space="preserve">If interventions were studied, detail all important adverse events (events with serious consequences) and/or side effects in each intervention group. </w:t>
      </w:r>
    </w:p>
    <w:p w:rsidR="00CD2FC6" w:rsidRPr="009347AA" w:rsidRDefault="00CD2FC6" w:rsidP="00CD2FC6">
      <w:pPr>
        <w:spacing w:after="80" w:line="240" w:lineRule="exact"/>
        <w:rPr>
          <w:sz w:val="20"/>
          <w:szCs w:val="22"/>
        </w:rPr>
      </w:pPr>
    </w:p>
    <w:p w:rsidR="00CD2FC6" w:rsidRPr="009347AA" w:rsidRDefault="00CD2FC6" w:rsidP="00CD2FC6">
      <w:pPr>
        <w:spacing w:after="80" w:line="240" w:lineRule="exact"/>
        <w:outlineLvl w:val="0"/>
        <w:rPr>
          <w:sz w:val="20"/>
          <w:szCs w:val="22"/>
        </w:rPr>
      </w:pPr>
      <w:r w:rsidRPr="009347AA">
        <w:rPr>
          <w:sz w:val="20"/>
          <w:szCs w:val="22"/>
        </w:rPr>
        <w:t>Table 1.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CD2FC6" w:rsidRPr="009347AA" w:rsidTr="00BA359B">
        <w:trPr>
          <w:jc w:val="center"/>
        </w:trPr>
        <w:tc>
          <w:tcPr>
            <w:tcW w:w="2130" w:type="dxa"/>
            <w:tcBorders>
              <w:bottom w:val="nil"/>
            </w:tcBorders>
            <w:shd w:val="clear" w:color="auto" w:fill="auto"/>
          </w:tcPr>
          <w:p w:rsidR="00CD2FC6" w:rsidRPr="009347AA" w:rsidRDefault="00CD2FC6" w:rsidP="00BA359B">
            <w:pPr>
              <w:spacing w:after="80" w:line="240" w:lineRule="exact"/>
              <w:rPr>
                <w:sz w:val="20"/>
                <w:szCs w:val="20"/>
              </w:rPr>
            </w:pPr>
            <w:bookmarkStart w:id="8" w:name="OLE_LINK3"/>
            <w:bookmarkStart w:id="9" w:name="OLE_LINK4"/>
          </w:p>
        </w:tc>
        <w:tc>
          <w:tcPr>
            <w:tcW w:w="2130" w:type="dxa"/>
            <w:tcBorders>
              <w:bottom w:val="nil"/>
            </w:tcBorders>
            <w:shd w:val="clear" w:color="auto" w:fill="auto"/>
          </w:tcPr>
          <w:p w:rsidR="00CD2FC6" w:rsidRPr="009347AA" w:rsidRDefault="00CD2FC6" w:rsidP="00BA359B">
            <w:pPr>
              <w:spacing w:after="80" w:line="240" w:lineRule="exact"/>
              <w:rPr>
                <w:sz w:val="20"/>
                <w:szCs w:val="20"/>
              </w:rPr>
            </w:pPr>
          </w:p>
        </w:tc>
        <w:tc>
          <w:tcPr>
            <w:tcW w:w="4262" w:type="dxa"/>
            <w:gridSpan w:val="2"/>
            <w:tcBorders>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95%CI</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after="80"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UL</w:t>
            </w:r>
          </w:p>
        </w:tc>
      </w:tr>
      <w:tr w:rsidR="00CD2FC6" w:rsidRPr="009347AA" w:rsidTr="00BA359B">
        <w:trPr>
          <w:jc w:val="center"/>
        </w:trPr>
        <w:tc>
          <w:tcPr>
            <w:tcW w:w="2130" w:type="dxa"/>
            <w:tcBorders>
              <w:bottom w:val="nil"/>
            </w:tcBorders>
            <w:shd w:val="clear" w:color="auto" w:fill="auto"/>
          </w:tcPr>
          <w:p w:rsidR="00CD2FC6" w:rsidRPr="009347AA" w:rsidRDefault="00CD2FC6" w:rsidP="00BA359B">
            <w:pPr>
              <w:spacing w:after="80" w:line="240" w:lineRule="exact"/>
              <w:jc w:val="left"/>
              <w:rPr>
                <w:sz w:val="20"/>
                <w:szCs w:val="20"/>
              </w:rPr>
            </w:pPr>
            <w:r w:rsidRPr="009347AA">
              <w:rPr>
                <w:sz w:val="20"/>
                <w:szCs w:val="20"/>
              </w:rPr>
              <w:t>Letters</w:t>
            </w:r>
          </w:p>
        </w:tc>
        <w:tc>
          <w:tcPr>
            <w:tcW w:w="2130" w:type="dxa"/>
            <w:tcBorders>
              <w:bottom w:val="nil"/>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14.5(28.6)</w:t>
            </w:r>
          </w:p>
        </w:tc>
        <w:tc>
          <w:tcPr>
            <w:tcW w:w="2131" w:type="dxa"/>
            <w:tcBorders>
              <w:bottom w:val="nil"/>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5.4</w:t>
            </w:r>
          </w:p>
        </w:tc>
        <w:tc>
          <w:tcPr>
            <w:tcW w:w="2131" w:type="dxa"/>
            <w:tcBorders>
              <w:bottom w:val="nil"/>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23.6</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after="80" w:line="240" w:lineRule="exact"/>
              <w:jc w:val="left"/>
              <w:rPr>
                <w:sz w:val="20"/>
                <w:szCs w:val="20"/>
              </w:rPr>
            </w:pPr>
            <w:r w:rsidRPr="009347AA">
              <w:rPr>
                <w:sz w:val="20"/>
                <w:szCs w:val="20"/>
              </w:rPr>
              <w:t>Digits</w:t>
            </w:r>
          </w:p>
        </w:tc>
        <w:tc>
          <w:tcPr>
            <w:tcW w:w="2130"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42.4</w:t>
            </w:r>
          </w:p>
        </w:tc>
      </w:tr>
    </w:tbl>
    <w:bookmarkEnd w:id="8"/>
    <w:bookmarkEnd w:id="9"/>
    <w:p w:rsidR="00CD2FC6" w:rsidRPr="009347AA" w:rsidRDefault="00CD2FC6" w:rsidP="00CD2FC6">
      <w:pPr>
        <w:spacing w:after="80" w:line="240" w:lineRule="exact"/>
        <w:rPr>
          <w:sz w:val="20"/>
          <w:szCs w:val="20"/>
        </w:rPr>
      </w:pPr>
      <w:r w:rsidRPr="009347AA">
        <w:rPr>
          <w:rFonts w:hint="eastAsia"/>
          <w:i/>
          <w:iCs/>
          <w:sz w:val="20"/>
          <w:lang w:val="en-GB"/>
        </w:rPr>
        <w:t>Note.</w:t>
      </w:r>
      <w:r w:rsidRPr="009347AA">
        <w:rPr>
          <w:rFonts w:hint="eastAsia"/>
          <w:sz w:val="20"/>
          <w:lang w:val="en-GB"/>
        </w:rPr>
        <w:t xml:space="preserve"> </w:t>
      </w:r>
      <w:r w:rsidRPr="009347AA">
        <w:rPr>
          <w:sz w:val="20"/>
        </w:rPr>
        <w:t>Place table caption in front of table body and description below the table body. Avoid vertical rules. Be sparing in the use of tables and ensure that the data presented in tables do not duplicate results described elsewhere in the article</w:t>
      </w:r>
      <w:r w:rsidRPr="009347AA">
        <w:rPr>
          <w:sz w:val="20"/>
          <w:lang w:val="en-GB"/>
        </w:rPr>
        <w:t>.</w:t>
      </w:r>
      <w:r w:rsidRPr="009347AA">
        <w:rPr>
          <w:rFonts w:hint="eastAsia"/>
          <w:sz w:val="20"/>
        </w:rPr>
        <w:t xml:space="preserve"> You may resize the tables to fit the page size.</w:t>
      </w:r>
    </w:p>
    <w:p w:rsidR="00CD2FC6" w:rsidRPr="009347AA" w:rsidRDefault="00CD2FC6" w:rsidP="00CD2FC6">
      <w:pPr>
        <w:spacing w:after="80" w:line="240" w:lineRule="exact"/>
        <w:rPr>
          <w:iCs/>
          <w:sz w:val="20"/>
        </w:rPr>
      </w:pPr>
    </w:p>
    <w:p w:rsidR="00CD2FC6" w:rsidRPr="009347AA" w:rsidRDefault="00CD2FC6" w:rsidP="00CD2FC6">
      <w:pPr>
        <w:spacing w:after="80" w:line="240" w:lineRule="exact"/>
        <w:rPr>
          <w:b/>
          <w:iCs/>
          <w:sz w:val="20"/>
        </w:rPr>
      </w:pPr>
      <w:r w:rsidRPr="009347AA">
        <w:rPr>
          <w:b/>
          <w:iCs/>
          <w:sz w:val="20"/>
        </w:rPr>
        <w:t>4. Discussion</w:t>
      </w:r>
    </w:p>
    <w:p w:rsidR="00CD2FC6" w:rsidRPr="009347AA" w:rsidRDefault="00CD2FC6" w:rsidP="00CD2FC6">
      <w:pPr>
        <w:spacing w:after="80" w:line="240" w:lineRule="exact"/>
        <w:rPr>
          <w:iCs/>
          <w:sz w:val="20"/>
        </w:rPr>
      </w:pPr>
      <w:r w:rsidRPr="009347AA">
        <w:rPr>
          <w:iCs/>
          <w:sz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CD2FC6" w:rsidRPr="009347AA" w:rsidRDefault="00CD2FC6" w:rsidP="00CD2FC6">
      <w:pPr>
        <w:spacing w:after="80" w:line="240" w:lineRule="exact"/>
        <w:rPr>
          <w:iCs/>
          <w:sz w:val="20"/>
        </w:rPr>
      </w:pPr>
      <w:r w:rsidRPr="009347AA">
        <w:rPr>
          <w:iCs/>
          <w:sz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CD2FC6" w:rsidRPr="009347AA" w:rsidRDefault="00CD2FC6" w:rsidP="00CD2FC6">
      <w:pPr>
        <w:spacing w:after="80" w:line="240" w:lineRule="exact"/>
        <w:rPr>
          <w:iCs/>
          <w:sz w:val="20"/>
        </w:rPr>
      </w:pPr>
      <w:r w:rsidRPr="009347AA">
        <w:rPr>
          <w:iCs/>
          <w:sz w:val="20"/>
        </w:rPr>
        <w:t xml:space="preserve">Your interpretation of the results should take into account (a) sources of potential bias and other threats to internal validity, (b) the imprecision of measures, (c) the overall number of tests or overlap among tests, (d) the </w:t>
      </w:r>
      <w:r w:rsidRPr="009347AA">
        <w:rPr>
          <w:iCs/>
          <w:sz w:val="20"/>
        </w:rPr>
        <w:lastRenderedPageBreak/>
        <w:t>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w:t>
      </w:r>
      <w:r w:rsidRPr="009347AA">
        <w:t xml:space="preserve"> </w:t>
      </w:r>
      <w:r w:rsidRPr="009347AA">
        <w:rPr>
          <w:iCs/>
          <w:sz w:val="20"/>
        </w:rPr>
        <w:t>ulation was implemented in the study, that is, any differences between the manipulation as planned and as implemented.</w:t>
      </w:r>
    </w:p>
    <w:p w:rsidR="00CD2FC6" w:rsidRPr="009347AA" w:rsidRDefault="00CD2FC6" w:rsidP="00CD2FC6">
      <w:pPr>
        <w:spacing w:after="80" w:line="240" w:lineRule="exact"/>
        <w:rPr>
          <w:iCs/>
          <w:sz w:val="20"/>
        </w:rPr>
      </w:pPr>
      <w:r w:rsidRPr="009347AA">
        <w:rPr>
          <w:iCs/>
          <w:sz w:val="20"/>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CD2FC6" w:rsidRPr="009347AA" w:rsidRDefault="00CD2FC6" w:rsidP="00CD2FC6">
      <w:pPr>
        <w:spacing w:after="80" w:line="240" w:lineRule="exact"/>
        <w:rPr>
          <w:iCs/>
          <w:sz w:val="20"/>
        </w:rPr>
      </w:pPr>
      <w:r w:rsidRPr="009347AA">
        <w:rPr>
          <w:iCs/>
          <w:sz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CD2FC6" w:rsidRPr="009347AA" w:rsidRDefault="00CD2FC6" w:rsidP="00CD2FC6">
      <w:pPr>
        <w:spacing w:after="80" w:line="240" w:lineRule="exact"/>
        <w:rPr>
          <w:iCs/>
          <w:sz w:val="20"/>
        </w:rPr>
      </w:pPr>
      <w:r w:rsidRPr="009347AA">
        <w:rPr>
          <w:iCs/>
          <w:sz w:val="20"/>
        </w:rPr>
        <w:t>You may also consider the following issues:</w:t>
      </w:r>
    </w:p>
    <w:p w:rsidR="00CD2FC6" w:rsidRPr="009347AA" w:rsidRDefault="00CD2FC6" w:rsidP="00CD2FC6">
      <w:pPr>
        <w:numPr>
          <w:ilvl w:val="0"/>
          <w:numId w:val="3"/>
        </w:numPr>
        <w:spacing w:after="80" w:line="240" w:lineRule="exact"/>
        <w:ind w:left="0" w:firstLine="0"/>
        <w:rPr>
          <w:iCs/>
          <w:sz w:val="20"/>
        </w:rPr>
      </w:pPr>
      <w:r w:rsidRPr="009347AA">
        <w:rPr>
          <w:iCs/>
          <w:sz w:val="20"/>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CD2FC6" w:rsidRDefault="00CD2FC6" w:rsidP="00CD2FC6">
      <w:pPr>
        <w:numPr>
          <w:ilvl w:val="0"/>
          <w:numId w:val="3"/>
        </w:numPr>
        <w:spacing w:after="80" w:line="240" w:lineRule="exact"/>
        <w:ind w:left="0" w:firstLine="0"/>
        <w:rPr>
          <w:iCs/>
          <w:sz w:val="20"/>
        </w:rPr>
      </w:pPr>
      <w:r w:rsidRPr="009347AA">
        <w:rPr>
          <w:iCs/>
          <w:sz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CD2FC6" w:rsidRPr="009347AA" w:rsidRDefault="00CD2FC6" w:rsidP="00CD2FC6">
      <w:pPr>
        <w:spacing w:after="80" w:line="240" w:lineRule="exact"/>
        <w:rPr>
          <w:iCs/>
          <w:sz w:val="20"/>
        </w:rPr>
      </w:pPr>
    </w:p>
    <w:p w:rsidR="00CD2FC6" w:rsidRPr="009347AA" w:rsidRDefault="00CD2FC6" w:rsidP="00E77342">
      <w:pPr>
        <w:pStyle w:val="figure"/>
        <w:rPr>
          <w:lang w:val="sv-SE"/>
        </w:rPr>
      </w:pPr>
      <w:r>
        <w:drawing>
          <wp:inline distT="0" distB="0" distL="0" distR="0">
            <wp:extent cx="3429000" cy="2057400"/>
            <wp:effectExtent l="19050" t="0" r="0" b="0"/>
            <wp:docPr id="22" name="图片 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pic:cNvPicPr>
                      <a:picLocks noChangeAspect="1" noChangeArrowheads="1"/>
                    </pic:cNvPicPr>
                  </pic:nvPicPr>
                  <pic:blipFill>
                    <a:blip r:embed="rId7" cstate="print">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CD2FC6" w:rsidRPr="009347AA" w:rsidRDefault="00CD2FC6" w:rsidP="00E77342">
      <w:pPr>
        <w:pStyle w:val="figure123"/>
        <w:rPr>
          <w:lang w:val="en-GB"/>
        </w:rPr>
      </w:pPr>
      <w:r w:rsidRPr="009347AA">
        <w:t>Figure 1. Figure title (This is an example of figure 1)</w:t>
      </w:r>
    </w:p>
    <w:p w:rsidR="00CD2FC6" w:rsidRPr="009347AA" w:rsidRDefault="00CD2FC6" w:rsidP="00CD2FC6">
      <w:pPr>
        <w:spacing w:after="80" w:line="240" w:lineRule="exact"/>
        <w:rPr>
          <w:sz w:val="20"/>
        </w:rPr>
      </w:pPr>
      <w:r w:rsidRPr="009347AA">
        <w:rPr>
          <w:rFonts w:hint="eastAsia"/>
          <w:i/>
          <w:iCs/>
          <w:sz w:val="20"/>
          <w:lang w:val="en-GB"/>
        </w:rPr>
        <w:t>Note.</w:t>
      </w:r>
      <w:r w:rsidRPr="009347AA">
        <w:rPr>
          <w:rFonts w:hint="eastAsia"/>
          <w:sz w:val="20"/>
          <w:lang w:val="en-GB"/>
        </w:rPr>
        <w:t xml:space="preserve"> </w:t>
      </w:r>
      <w:r w:rsidRPr="009347AA">
        <w:rPr>
          <w:sz w:val="20"/>
        </w:rPr>
        <w:t>Number figures consecutively in accordance with their appearance in the text. Place figures caption and description below the figure body. (Resolution: 300 dpi).</w:t>
      </w:r>
      <w:r w:rsidRPr="009347AA">
        <w:rPr>
          <w:rFonts w:hint="eastAsia"/>
          <w:sz w:val="20"/>
        </w:rPr>
        <w:t xml:space="preserve"> You may resize the figures or schemes to fit the page size.</w:t>
      </w:r>
    </w:p>
    <w:p w:rsidR="00CD2FC6" w:rsidRPr="009347AA" w:rsidRDefault="00CD2FC6" w:rsidP="00CD2FC6">
      <w:pPr>
        <w:spacing w:after="80" w:line="240" w:lineRule="exact"/>
        <w:rPr>
          <w:sz w:val="20"/>
        </w:rPr>
      </w:pPr>
    </w:p>
    <w:p w:rsidR="00CD2FC6" w:rsidRPr="009347AA" w:rsidRDefault="00CD2FC6" w:rsidP="00CD2FC6">
      <w:pPr>
        <w:spacing w:after="80" w:line="240" w:lineRule="exact"/>
        <w:rPr>
          <w:b/>
          <w:sz w:val="20"/>
          <w:szCs w:val="20"/>
        </w:rPr>
      </w:pPr>
      <w:r w:rsidRPr="009347AA">
        <w:rPr>
          <w:b/>
          <w:sz w:val="20"/>
          <w:szCs w:val="20"/>
        </w:rPr>
        <w:t>Acknowledgments</w:t>
      </w:r>
    </w:p>
    <w:p w:rsidR="00CD2FC6" w:rsidRPr="009347AA" w:rsidRDefault="00CD2FC6" w:rsidP="00CD2FC6">
      <w:pPr>
        <w:spacing w:after="80" w:line="240" w:lineRule="exact"/>
        <w:rPr>
          <w:sz w:val="20"/>
          <w:szCs w:val="20"/>
        </w:rPr>
      </w:pPr>
      <w:r w:rsidRPr="009347AA">
        <w:rPr>
          <w:sz w:val="20"/>
          <w:szCs w:val="20"/>
        </w:rPr>
        <w:t>Identify grants or other financial support (and the source, if</w:t>
      </w:r>
      <w:r w:rsidRPr="009347AA">
        <w:rPr>
          <w:rFonts w:hint="eastAsia"/>
          <w:sz w:val="20"/>
          <w:szCs w:val="20"/>
        </w:rPr>
        <w:t xml:space="preserve"> </w:t>
      </w:r>
      <w:r w:rsidRPr="009347AA">
        <w:rPr>
          <w:sz w:val="20"/>
          <w:szCs w:val="20"/>
        </w:rPr>
        <w:t>appropriate) for your study; do not precede grant numbers by No. or #. Next,</w:t>
      </w:r>
      <w:r w:rsidRPr="009347AA">
        <w:rPr>
          <w:rFonts w:hint="eastAsia"/>
          <w:sz w:val="20"/>
          <w:szCs w:val="20"/>
        </w:rPr>
        <w:t xml:space="preserve"> </w:t>
      </w:r>
      <w:r w:rsidRPr="009347AA">
        <w:rPr>
          <w:sz w:val="20"/>
          <w:szCs w:val="20"/>
        </w:rPr>
        <w:t>acknowledge colleagues who assisted in conducting the study or critiquing the manuscript.</w:t>
      </w:r>
      <w:r w:rsidRPr="009347AA">
        <w:rPr>
          <w:rFonts w:hint="eastAsia"/>
          <w:sz w:val="20"/>
          <w:szCs w:val="20"/>
        </w:rPr>
        <w:t xml:space="preserve"> </w:t>
      </w:r>
      <w:r w:rsidRPr="009347AA">
        <w:rPr>
          <w:sz w:val="20"/>
          <w:szCs w:val="20"/>
        </w:rPr>
        <w:t>Do not acknowledge the persons routinely involved in the review and acceptance</w:t>
      </w:r>
      <w:r w:rsidRPr="009347AA">
        <w:rPr>
          <w:rFonts w:hint="eastAsia"/>
          <w:sz w:val="20"/>
          <w:szCs w:val="20"/>
        </w:rPr>
        <w:t xml:space="preserve"> </w:t>
      </w:r>
      <w:r w:rsidRPr="009347AA">
        <w:rPr>
          <w:sz w:val="20"/>
          <w:szCs w:val="20"/>
        </w:rPr>
        <w:t>of manuscripts</w:t>
      </w:r>
      <w:r w:rsidRPr="009347AA">
        <w:rPr>
          <w:rFonts w:hint="eastAsia"/>
          <w:sz w:val="20"/>
          <w:szCs w:val="20"/>
        </w:rPr>
        <w:t xml:space="preserve"> </w:t>
      </w:r>
      <w:r w:rsidRPr="009347AA">
        <w:rPr>
          <w:sz w:val="20"/>
          <w:szCs w:val="20"/>
        </w:rPr>
        <w:t></w:t>
      </w:r>
      <w:r w:rsidRPr="009347AA">
        <w:rPr>
          <w:rFonts w:hint="eastAsia"/>
          <w:sz w:val="20"/>
          <w:szCs w:val="20"/>
        </w:rPr>
        <w:t xml:space="preserve"> </w:t>
      </w:r>
      <w:r w:rsidRPr="009347AA">
        <w:rPr>
          <w:sz w:val="20"/>
          <w:szCs w:val="20"/>
        </w:rPr>
        <w:t>peer reviewers or editors, associate editors, and consulting editors</w:t>
      </w:r>
      <w:r w:rsidRPr="009347AA">
        <w:rPr>
          <w:rFonts w:hint="eastAsia"/>
          <w:sz w:val="20"/>
          <w:szCs w:val="20"/>
        </w:rPr>
        <w:t xml:space="preserve"> </w:t>
      </w:r>
      <w:r w:rsidRPr="009347AA">
        <w:rPr>
          <w:sz w:val="20"/>
          <w:szCs w:val="20"/>
        </w:rPr>
        <w:t>of the journal in which the article is to appear</w:t>
      </w:r>
      <w:r w:rsidRPr="009347AA">
        <w:rPr>
          <w:rFonts w:hint="eastAsia"/>
          <w:sz w:val="20"/>
          <w:szCs w:val="20"/>
        </w:rPr>
        <w:t>.</w:t>
      </w:r>
      <w:r w:rsidRPr="009347AA">
        <w:rPr>
          <w:sz w:val="20"/>
          <w:szCs w:val="20"/>
        </w:rPr>
        <w:t xml:space="preserve"> In</w:t>
      </w:r>
      <w:r w:rsidRPr="009347AA">
        <w:rPr>
          <w:rFonts w:hint="eastAsia"/>
          <w:sz w:val="20"/>
          <w:szCs w:val="20"/>
        </w:rPr>
        <w:t xml:space="preserve"> </w:t>
      </w:r>
      <w:r w:rsidRPr="009347AA">
        <w:rPr>
          <w:sz w:val="20"/>
          <w:szCs w:val="20"/>
        </w:rPr>
        <w:t>this paragraph, also explain any special agreements concerning authorship, such as if</w:t>
      </w:r>
      <w:r w:rsidRPr="009347AA">
        <w:rPr>
          <w:rFonts w:hint="eastAsia"/>
          <w:sz w:val="20"/>
          <w:szCs w:val="20"/>
        </w:rPr>
        <w:t xml:space="preserve"> </w:t>
      </w:r>
      <w:r w:rsidRPr="009347AA">
        <w:rPr>
          <w:sz w:val="20"/>
          <w:szCs w:val="20"/>
        </w:rPr>
        <w:t>authors contributed equally to the study. End this paragraph with thanks for personal</w:t>
      </w:r>
      <w:r w:rsidRPr="009347AA">
        <w:rPr>
          <w:rFonts w:hint="eastAsia"/>
          <w:sz w:val="20"/>
          <w:szCs w:val="20"/>
        </w:rPr>
        <w:t xml:space="preserve"> </w:t>
      </w:r>
      <w:r w:rsidRPr="009347AA">
        <w:rPr>
          <w:sz w:val="20"/>
          <w:szCs w:val="20"/>
        </w:rPr>
        <w:t>assistance, such as in manuscript preparation.</w:t>
      </w:r>
      <w:r w:rsidRPr="009347AA">
        <w:rPr>
          <w:rFonts w:hint="eastAsia"/>
          <w:sz w:val="20"/>
          <w:szCs w:val="20"/>
        </w:rPr>
        <w:t xml:space="preserve"> </w:t>
      </w:r>
    </w:p>
    <w:p w:rsidR="00CD2FC6" w:rsidRPr="009347AA" w:rsidRDefault="00CD2FC6" w:rsidP="00CD2FC6">
      <w:pPr>
        <w:spacing w:after="80" w:line="240" w:lineRule="exact"/>
        <w:outlineLvl w:val="0"/>
        <w:rPr>
          <w:b/>
          <w:bCs/>
          <w:sz w:val="20"/>
          <w:szCs w:val="22"/>
        </w:rPr>
      </w:pPr>
      <w:r w:rsidRPr="009347AA">
        <w:rPr>
          <w:b/>
          <w:bCs/>
          <w:sz w:val="20"/>
          <w:szCs w:val="22"/>
        </w:rPr>
        <w:lastRenderedPageBreak/>
        <w:t>References</w:t>
      </w:r>
    </w:p>
    <w:p w:rsidR="00CD2FC6" w:rsidRPr="009347AA" w:rsidRDefault="00CD2FC6" w:rsidP="00E77342">
      <w:pPr>
        <w:pStyle w:val="references"/>
      </w:pPr>
      <w:r w:rsidRPr="009347AA">
        <w:t xml:space="preserve">American Psychological Association. (1972). </w:t>
      </w:r>
      <w:r w:rsidRPr="009347AA">
        <w:rPr>
          <w:i/>
          <w:iCs/>
        </w:rPr>
        <w:t>Ethical standards of psychologists</w:t>
      </w:r>
      <w:r w:rsidRPr="009347AA">
        <w:t>. Washington, DC: American Psychological Association.</w:t>
      </w:r>
    </w:p>
    <w:p w:rsidR="00CD2FC6" w:rsidRPr="009347AA" w:rsidRDefault="00CD2FC6" w:rsidP="00E77342">
      <w:pPr>
        <w:pStyle w:val="references"/>
      </w:pPr>
      <w:r w:rsidRPr="009347AA">
        <w:t>Anderson, C.</w:t>
      </w:r>
      <w:r w:rsidRPr="009347AA">
        <w:rPr>
          <w:rFonts w:hint="eastAsia"/>
        </w:rPr>
        <w:t xml:space="preserve"> </w:t>
      </w:r>
      <w:r w:rsidRPr="009347AA">
        <w:t>A., Gentile, D.</w:t>
      </w:r>
      <w:r w:rsidRPr="009347AA">
        <w:rPr>
          <w:rFonts w:hint="eastAsia"/>
        </w:rPr>
        <w:t xml:space="preserve"> </w:t>
      </w:r>
      <w:r w:rsidRPr="009347AA">
        <w:t>A., &amp; Buckley, K.</w:t>
      </w:r>
      <w:r w:rsidRPr="009347AA">
        <w:rPr>
          <w:rFonts w:hint="eastAsia"/>
        </w:rPr>
        <w:t xml:space="preserve"> </w:t>
      </w:r>
      <w:r w:rsidRPr="009347AA">
        <w:t xml:space="preserve">E. (2007). </w:t>
      </w:r>
      <w:r w:rsidRPr="009347AA">
        <w:rPr>
          <w:i/>
          <w:iCs/>
        </w:rPr>
        <w:t>Violent video game effects on children and adolescents: Theory, research and public policy.</w:t>
      </w:r>
      <w:r w:rsidRPr="009347AA">
        <w:t xml:space="preserve"> </w:t>
      </w:r>
      <w:r w:rsidR="00992B8A">
        <w:t>https://doi.org/</w:t>
      </w:r>
      <w:r w:rsidRPr="009347AA">
        <w:t xml:space="preserve">10.1093/acprof:oso/9780195309836.001.0001 </w:t>
      </w:r>
    </w:p>
    <w:p w:rsidR="00CD2FC6" w:rsidRPr="009347AA" w:rsidRDefault="00CD2FC6" w:rsidP="00E77342">
      <w:pPr>
        <w:pStyle w:val="references"/>
      </w:pPr>
      <w:r w:rsidRPr="009347AA">
        <w:t xml:space="preserve">Beck, C. A. J., &amp; Sales, B. D. (2001). </w:t>
      </w:r>
      <w:r w:rsidRPr="009347AA">
        <w:rPr>
          <w:i/>
          <w:iCs/>
        </w:rPr>
        <w:t>Family mediation: Facts, myths, and future prospects</w:t>
      </w:r>
      <w:r w:rsidRPr="009347AA">
        <w:rPr>
          <w:rFonts w:hint="eastAsia"/>
          <w:iCs/>
        </w:rPr>
        <w:t xml:space="preserve"> (pp. 100-102)</w:t>
      </w:r>
      <w:r w:rsidRPr="009347AA">
        <w:t xml:space="preserve">. Washington, DC: American Psychological Association. </w:t>
      </w:r>
      <w:r w:rsidR="00992B8A">
        <w:t>https://doi.org/</w:t>
      </w:r>
      <w:r w:rsidRPr="009347AA">
        <w:t>10.1037/10401-000</w:t>
      </w:r>
    </w:p>
    <w:p w:rsidR="00CD2FC6" w:rsidRPr="009347AA" w:rsidRDefault="00CD2FC6" w:rsidP="00E77342">
      <w:pPr>
        <w:pStyle w:val="references"/>
      </w:pPr>
      <w:r w:rsidRPr="009347AA">
        <w:t xml:space="preserve">Bernstein, T. M. (1965). </w:t>
      </w:r>
      <w:r w:rsidRPr="009347AA">
        <w:rPr>
          <w:i/>
          <w:iCs/>
        </w:rPr>
        <w:t>The careful writer: A modern guide to English usage</w:t>
      </w:r>
      <w:r w:rsidRPr="009347AA">
        <w:t xml:space="preserve"> (2nd ed.). New York, NY: Atheneum.</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Bjork, R. A. (1989). Retrieval inhibition as an adaptive mechanism in human memory. In H. L. Roediger </w:t>
      </w:r>
      <w:bookmarkStart w:id="10" w:name="OLE_LINK1237"/>
      <w:bookmarkStart w:id="11" w:name="OLE_LINK1238"/>
      <w:r w:rsidRPr="009347AA">
        <w:rPr>
          <w:sz w:val="20"/>
          <w:szCs w:val="20"/>
        </w:rPr>
        <w:t>III</w:t>
      </w:r>
      <w:bookmarkEnd w:id="10"/>
      <w:bookmarkEnd w:id="11"/>
      <w:r w:rsidRPr="009347AA">
        <w:rPr>
          <w:sz w:val="20"/>
          <w:szCs w:val="20"/>
        </w:rPr>
        <w:t xml:space="preserve">, &amp; F. I. M. Craik (Eds.), </w:t>
      </w:r>
      <w:r w:rsidRPr="009347AA">
        <w:rPr>
          <w:i/>
          <w:iCs/>
          <w:sz w:val="20"/>
          <w:szCs w:val="20"/>
        </w:rPr>
        <w:t>Varieties of memory &amp; consciousness</w:t>
      </w:r>
      <w:r w:rsidRPr="009347AA">
        <w:rPr>
          <w:sz w:val="20"/>
          <w:szCs w:val="20"/>
        </w:rPr>
        <w:t xml:space="preserve"> (pp. 309-330). Hillsdale, NJ: Erlbaum.</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Cress, C. M. (2009). </w:t>
      </w:r>
      <w:r w:rsidRPr="009347AA">
        <w:rPr>
          <w:i/>
          <w:iCs/>
          <w:sz w:val="20"/>
          <w:szCs w:val="20"/>
        </w:rPr>
        <w:t>Curricular strategies for student success and engaged learning</w:t>
      </w:r>
      <w:r w:rsidRPr="009347AA">
        <w:rPr>
          <w:sz w:val="20"/>
          <w:szCs w:val="20"/>
        </w:rPr>
        <w:t xml:space="preserve"> [PowerPoint slides]. Retrieved from http://www.vtcampuscompact.org/2009/TCL_post/presenter_powerpoints</w:t>
      </w:r>
      <w:r w:rsidRPr="009347AA">
        <w:rPr>
          <w:rFonts w:hint="eastAsia"/>
          <w:sz w:val="20"/>
          <w:szCs w:val="20"/>
        </w:rPr>
        <w:t xml:space="preserve"> </w:t>
      </w:r>
      <w:r w:rsidRPr="009347AA">
        <w:rPr>
          <w:sz w:val="20"/>
          <w:szCs w:val="20"/>
        </w:rPr>
        <w:t>/Christine%20Cress%20-%20Curricular%20Strategies.ppt</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Driedger, S. D. (1998, April 20). After divorce. </w:t>
      </w:r>
      <w:r w:rsidRPr="009347AA">
        <w:rPr>
          <w:i/>
          <w:iCs/>
          <w:sz w:val="20"/>
          <w:szCs w:val="20"/>
        </w:rPr>
        <w:t>Maclean’s</w:t>
      </w:r>
      <w:r w:rsidRPr="009347AA">
        <w:rPr>
          <w:sz w:val="20"/>
          <w:szCs w:val="20"/>
        </w:rPr>
        <w:t>,</w:t>
      </w:r>
      <w:r w:rsidRPr="009347AA">
        <w:rPr>
          <w:i/>
          <w:iCs/>
          <w:sz w:val="20"/>
          <w:szCs w:val="20"/>
        </w:rPr>
        <w:t xml:space="preserve"> 111</w:t>
      </w:r>
      <w:r w:rsidRPr="009347AA">
        <w:rPr>
          <w:sz w:val="20"/>
          <w:szCs w:val="20"/>
        </w:rPr>
        <w:t>(16), 38-43.</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Gibbs, J. T., &amp; Huang, L. N. (Eds.). (1991). </w:t>
      </w:r>
      <w:r w:rsidRPr="009347AA">
        <w:rPr>
          <w:i/>
          <w:iCs/>
          <w:sz w:val="20"/>
          <w:szCs w:val="20"/>
        </w:rPr>
        <w:t>Children of color: Psychological interventions with minority youth</w:t>
      </w:r>
      <w:r w:rsidRPr="009347AA">
        <w:rPr>
          <w:sz w:val="20"/>
          <w:szCs w:val="20"/>
        </w:rPr>
        <w:t>. San Francisco, CA: Jossey-Bass.</w:t>
      </w:r>
    </w:p>
    <w:p w:rsidR="00CD2FC6" w:rsidRPr="009347AA" w:rsidRDefault="00CD2FC6" w:rsidP="00CD2FC6">
      <w:pPr>
        <w:spacing w:after="80" w:line="240" w:lineRule="exact"/>
        <w:ind w:left="400" w:hangingChars="200" w:hanging="400"/>
        <w:rPr>
          <w:bCs/>
          <w:sz w:val="20"/>
          <w:szCs w:val="20"/>
        </w:rPr>
      </w:pPr>
      <w:r w:rsidRPr="009347AA">
        <w:rPr>
          <w:bCs/>
          <w:sz w:val="20"/>
          <w:szCs w:val="20"/>
        </w:rPr>
        <w:t>Gilbert, D. G., McClernon, J. F., Rabinovich, N. E., Sugai, C., Plath, L. C.,</w:t>
      </w:r>
      <w:r w:rsidRPr="009347AA">
        <w:rPr>
          <w:rFonts w:hint="eastAsia"/>
          <w:bCs/>
          <w:sz w:val="20"/>
          <w:szCs w:val="20"/>
        </w:rPr>
        <w:t xml:space="preserve"> </w:t>
      </w:r>
      <w:r w:rsidRPr="009347AA">
        <w:rPr>
          <w:bCs/>
          <w:sz w:val="20"/>
          <w:szCs w:val="20"/>
        </w:rPr>
        <w:t>Asgaard, G., ... Botros, N. (2004). Effects of quitting smoking on EEG activation</w:t>
      </w:r>
      <w:r w:rsidRPr="009347AA">
        <w:rPr>
          <w:rFonts w:hint="eastAsia"/>
          <w:bCs/>
          <w:sz w:val="20"/>
          <w:szCs w:val="20"/>
        </w:rPr>
        <w:t xml:space="preserve"> </w:t>
      </w:r>
      <w:r w:rsidRPr="009347AA">
        <w:rPr>
          <w:bCs/>
          <w:sz w:val="20"/>
          <w:szCs w:val="20"/>
        </w:rPr>
        <w:t>and attention last for more than 31 days and are more severe with stress,</w:t>
      </w:r>
      <w:r w:rsidRPr="009347AA">
        <w:rPr>
          <w:rFonts w:hint="eastAsia"/>
          <w:bCs/>
          <w:sz w:val="20"/>
          <w:szCs w:val="20"/>
        </w:rPr>
        <w:t xml:space="preserve"> </w:t>
      </w:r>
      <w:r w:rsidRPr="009347AA">
        <w:rPr>
          <w:bCs/>
          <w:sz w:val="20"/>
          <w:szCs w:val="20"/>
        </w:rPr>
        <w:t xml:space="preserve">dependence, DRD2 A 1 allele, and depressive traits. </w:t>
      </w:r>
      <w:r w:rsidRPr="009347AA">
        <w:rPr>
          <w:bCs/>
          <w:i/>
          <w:iCs/>
          <w:sz w:val="20"/>
          <w:szCs w:val="20"/>
        </w:rPr>
        <w:t>Nicotine and Tobacco</w:t>
      </w:r>
      <w:r w:rsidRPr="009347AA">
        <w:rPr>
          <w:rFonts w:hint="eastAsia"/>
          <w:bCs/>
          <w:i/>
          <w:iCs/>
          <w:sz w:val="20"/>
          <w:szCs w:val="20"/>
        </w:rPr>
        <w:t xml:space="preserve"> </w:t>
      </w:r>
      <w:r w:rsidRPr="009347AA">
        <w:rPr>
          <w:bCs/>
          <w:i/>
          <w:iCs/>
          <w:sz w:val="20"/>
          <w:szCs w:val="20"/>
        </w:rPr>
        <w:t>Research</w:t>
      </w:r>
      <w:r w:rsidRPr="009347AA">
        <w:rPr>
          <w:bCs/>
          <w:iCs/>
          <w:sz w:val="20"/>
          <w:szCs w:val="20"/>
        </w:rPr>
        <w:t>,</w:t>
      </w:r>
      <w:r w:rsidRPr="009347AA">
        <w:rPr>
          <w:bCs/>
          <w:i/>
          <w:iCs/>
          <w:sz w:val="20"/>
          <w:szCs w:val="20"/>
        </w:rPr>
        <w:t xml:space="preserve"> </w:t>
      </w:r>
      <w:r w:rsidRPr="009347AA">
        <w:rPr>
          <w:bCs/>
          <w:i/>
          <w:sz w:val="20"/>
          <w:szCs w:val="20"/>
        </w:rPr>
        <w:t>6</w:t>
      </w:r>
      <w:r w:rsidRPr="009347AA">
        <w:rPr>
          <w:bCs/>
          <w:sz w:val="20"/>
          <w:szCs w:val="20"/>
        </w:rPr>
        <w:t xml:space="preserve">, 249-267. </w:t>
      </w:r>
      <w:r w:rsidR="00992B8A">
        <w:rPr>
          <w:rFonts w:hint="eastAsia"/>
          <w:bCs/>
          <w:sz w:val="20"/>
          <w:szCs w:val="20"/>
        </w:rPr>
        <w:t>https://doi.org/</w:t>
      </w:r>
      <w:r w:rsidRPr="009347AA">
        <w:rPr>
          <w:bCs/>
          <w:sz w:val="20"/>
          <w:szCs w:val="20"/>
        </w:rPr>
        <w:t>10.1 080/1462220041 0001676305</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Goleman, D. (2009). What makes a leader? In D. Demers (Ed.), </w:t>
      </w:r>
      <w:r w:rsidRPr="009347AA">
        <w:rPr>
          <w:i/>
          <w:iCs/>
          <w:sz w:val="20"/>
          <w:szCs w:val="20"/>
        </w:rPr>
        <w:t>AHSC 230: Interpersonal communication and relationships</w:t>
      </w:r>
      <w:r w:rsidRPr="009347AA">
        <w:rPr>
          <w:sz w:val="20"/>
          <w:szCs w:val="20"/>
        </w:rPr>
        <w:t xml:space="preserve"> (pp. 47-56). Montreal, Canada: Concordia University Bookstore. (Reprinted from </w:t>
      </w:r>
      <w:r w:rsidRPr="009347AA">
        <w:rPr>
          <w:i/>
          <w:iCs/>
          <w:sz w:val="20"/>
          <w:szCs w:val="20"/>
        </w:rPr>
        <w:t>Harvard Business Review</w:t>
      </w:r>
      <w:r w:rsidRPr="009347AA">
        <w:rPr>
          <w:sz w:val="20"/>
          <w:szCs w:val="20"/>
        </w:rPr>
        <w:t xml:space="preserve">, </w:t>
      </w:r>
      <w:r w:rsidRPr="009347AA">
        <w:rPr>
          <w:i/>
          <w:iCs/>
          <w:sz w:val="20"/>
          <w:szCs w:val="20"/>
        </w:rPr>
        <w:t>76</w:t>
      </w:r>
      <w:r w:rsidRPr="009347AA">
        <w:rPr>
          <w:sz w:val="20"/>
          <w:szCs w:val="20"/>
        </w:rPr>
        <w:t>(6), pp.</w:t>
      </w:r>
      <w:r w:rsidRPr="009347AA">
        <w:rPr>
          <w:rFonts w:hint="eastAsia"/>
          <w:sz w:val="20"/>
          <w:szCs w:val="20"/>
        </w:rPr>
        <w:t xml:space="preserve"> </w:t>
      </w:r>
      <w:r w:rsidRPr="009347AA">
        <w:rPr>
          <w:sz w:val="20"/>
          <w:szCs w:val="20"/>
        </w:rPr>
        <w:t>93-102, 1998).</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Guignon, C. B. (1998). Existentialism. In E. Craig (Ed.), </w:t>
      </w:r>
      <w:r w:rsidRPr="009347AA">
        <w:rPr>
          <w:i/>
          <w:iCs/>
          <w:sz w:val="20"/>
          <w:szCs w:val="20"/>
        </w:rPr>
        <w:t>Routledge encyclopedia of philosophy</w:t>
      </w:r>
      <w:r w:rsidRPr="009347AA">
        <w:rPr>
          <w:sz w:val="20"/>
          <w:szCs w:val="20"/>
        </w:rPr>
        <w:t xml:space="preserve"> (Vol. 3, pp. 493-502). London, England: Routledge.</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Healey, D. (2005). </w:t>
      </w:r>
      <w:r w:rsidRPr="009347AA">
        <w:rPr>
          <w:i/>
          <w:sz w:val="20"/>
          <w:szCs w:val="20"/>
        </w:rPr>
        <w:t>Attention deficit/hyperactivity disorder and creativity: An investigation into their relationship</w:t>
      </w:r>
      <w:r w:rsidRPr="009347AA">
        <w:rPr>
          <w:sz w:val="20"/>
          <w:szCs w:val="20"/>
        </w:rPr>
        <w:t xml:space="preserve"> </w:t>
      </w:r>
      <w:r w:rsidRPr="009347AA">
        <w:rPr>
          <w:rFonts w:hint="eastAsia"/>
          <w:sz w:val="20"/>
          <w:szCs w:val="20"/>
        </w:rPr>
        <w:t>(</w:t>
      </w:r>
      <w:r w:rsidRPr="009347AA">
        <w:rPr>
          <w:sz w:val="20"/>
          <w:szCs w:val="20"/>
        </w:rPr>
        <w:t>Unpublished doctoral dissertation</w:t>
      </w:r>
      <w:r w:rsidRPr="009347AA">
        <w:rPr>
          <w:rFonts w:hint="eastAsia"/>
          <w:sz w:val="20"/>
          <w:szCs w:val="20"/>
        </w:rPr>
        <w:t>).</w:t>
      </w:r>
      <w:r w:rsidRPr="009347AA">
        <w:rPr>
          <w:sz w:val="20"/>
          <w:szCs w:val="20"/>
        </w:rPr>
        <w:t xml:space="preserve"> University of Canterbury, Christchurch, New Zealand.</w:t>
      </w:r>
    </w:p>
    <w:p w:rsidR="00CD2FC6" w:rsidRPr="009347AA" w:rsidRDefault="00CD2FC6" w:rsidP="00CD2FC6">
      <w:pPr>
        <w:spacing w:after="80" w:line="240" w:lineRule="exact"/>
        <w:ind w:left="400" w:hangingChars="200" w:hanging="400"/>
        <w:rPr>
          <w:sz w:val="20"/>
          <w:szCs w:val="20"/>
        </w:rPr>
      </w:pPr>
      <w:r w:rsidRPr="009347AA">
        <w:rPr>
          <w:sz w:val="20"/>
          <w:szCs w:val="20"/>
        </w:rPr>
        <w:t>Herculano-Houzel, S., Collins, C. E., Wong, P., Kaas, J. H.</w:t>
      </w:r>
      <w:r w:rsidRPr="009347AA">
        <w:rPr>
          <w:rFonts w:hint="eastAsia"/>
          <w:sz w:val="20"/>
          <w:szCs w:val="20"/>
        </w:rPr>
        <w:t>,</w:t>
      </w:r>
      <w:r w:rsidRPr="009347AA">
        <w:rPr>
          <w:sz w:val="20"/>
          <w:szCs w:val="20"/>
        </w:rPr>
        <w:t xml:space="preserve"> &amp; Lent, R. (2008). The basic nonuniformity of the cerebral cortex. </w:t>
      </w:r>
      <w:r w:rsidRPr="009347AA">
        <w:rPr>
          <w:i/>
          <w:sz w:val="20"/>
          <w:szCs w:val="20"/>
        </w:rPr>
        <w:t>Proceedings of the National Academy of Sciences</w:t>
      </w:r>
      <w:r w:rsidRPr="009347AA">
        <w:rPr>
          <w:rFonts w:hint="eastAsia"/>
          <w:iCs/>
          <w:sz w:val="20"/>
          <w:szCs w:val="20"/>
        </w:rPr>
        <w:t>,</w:t>
      </w:r>
      <w:r w:rsidRPr="009347AA">
        <w:rPr>
          <w:sz w:val="20"/>
          <w:szCs w:val="20"/>
        </w:rPr>
        <w:t xml:space="preserve"> </w:t>
      </w:r>
      <w:r w:rsidRPr="009347AA">
        <w:rPr>
          <w:i/>
          <w:sz w:val="20"/>
          <w:szCs w:val="20"/>
        </w:rPr>
        <w:t>105</w:t>
      </w:r>
      <w:r w:rsidRPr="009347AA">
        <w:rPr>
          <w:sz w:val="20"/>
          <w:szCs w:val="20"/>
        </w:rPr>
        <w:t xml:space="preserve">, 12593-12598. </w:t>
      </w:r>
      <w:r w:rsidR="00992B8A">
        <w:rPr>
          <w:sz w:val="20"/>
          <w:szCs w:val="20"/>
        </w:rPr>
        <w:t>https://doi.org/</w:t>
      </w:r>
      <w:r w:rsidRPr="009347AA">
        <w:rPr>
          <w:sz w:val="20"/>
          <w:szCs w:val="20"/>
        </w:rPr>
        <w:t>10.1073/pnas.0805417105</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Klimoski, R., &amp; Palmer, S. (1993). The ADA and the hiring process in organizations. </w:t>
      </w:r>
      <w:r w:rsidRPr="009347AA">
        <w:rPr>
          <w:i/>
          <w:iCs/>
          <w:sz w:val="20"/>
          <w:szCs w:val="20"/>
        </w:rPr>
        <w:t>Consulting Psychology Journal: Practice and Research</w:t>
      </w:r>
      <w:r w:rsidRPr="009347AA">
        <w:rPr>
          <w:iCs/>
          <w:sz w:val="20"/>
          <w:szCs w:val="20"/>
        </w:rPr>
        <w:t xml:space="preserve">, </w:t>
      </w:r>
      <w:r w:rsidRPr="009347AA">
        <w:rPr>
          <w:i/>
          <w:iCs/>
          <w:sz w:val="20"/>
          <w:szCs w:val="20"/>
        </w:rPr>
        <w:t>45</w:t>
      </w:r>
      <w:r w:rsidRPr="009347AA">
        <w:rPr>
          <w:sz w:val="20"/>
          <w:szCs w:val="20"/>
        </w:rPr>
        <w:t xml:space="preserve">(2), 10-36. </w:t>
      </w:r>
      <w:r w:rsidR="00992B8A">
        <w:rPr>
          <w:sz w:val="20"/>
          <w:szCs w:val="20"/>
        </w:rPr>
        <w:t>https://doi.org/</w:t>
      </w:r>
      <w:r w:rsidRPr="009347AA">
        <w:rPr>
          <w:sz w:val="20"/>
          <w:szCs w:val="20"/>
        </w:rPr>
        <w:t>10.1037/1061-4087.45.2.10</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Kubrick, S. (Director). (1980). </w:t>
      </w:r>
      <w:r w:rsidRPr="009347AA">
        <w:rPr>
          <w:i/>
          <w:iCs/>
          <w:sz w:val="20"/>
          <w:szCs w:val="20"/>
        </w:rPr>
        <w:t>The Shining</w:t>
      </w:r>
      <w:r w:rsidRPr="009347AA">
        <w:rPr>
          <w:sz w:val="20"/>
          <w:szCs w:val="20"/>
        </w:rPr>
        <w:t xml:space="preserve"> [Motion picture]. United States: Warner Brothers.</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Liu, S. (2005, May). </w:t>
      </w:r>
      <w:r w:rsidRPr="009347AA">
        <w:rPr>
          <w:i/>
          <w:sz w:val="20"/>
          <w:szCs w:val="20"/>
        </w:rPr>
        <w:t>Defending against business crises with the help of intelligent agent based early warning solutions</w:t>
      </w:r>
      <w:r w:rsidRPr="009347AA">
        <w:rPr>
          <w:sz w:val="20"/>
          <w:szCs w:val="20"/>
        </w:rPr>
        <w:t xml:space="preserve">. Paper presented at the Seventh International Conference on Enterprise Information Systems, Miami, FL. Abstract retrieved from </w:t>
      </w:r>
      <w:hyperlink r:id="rId8" w:history="1">
        <w:r w:rsidRPr="009347AA">
          <w:rPr>
            <w:rStyle w:val="a9"/>
            <w:sz w:val="20"/>
            <w:szCs w:val="20"/>
          </w:rPr>
          <w:t>http://www.iceis.org/iceis2005/abstracts_2005.htm</w:t>
        </w:r>
      </w:hyperlink>
    </w:p>
    <w:p w:rsidR="00CD2FC6" w:rsidRPr="009347AA" w:rsidRDefault="00CD2FC6" w:rsidP="00CD2FC6">
      <w:pPr>
        <w:spacing w:after="80" w:line="240" w:lineRule="exact"/>
        <w:ind w:left="400" w:hangingChars="200" w:hanging="400"/>
        <w:rPr>
          <w:sz w:val="20"/>
          <w:szCs w:val="20"/>
        </w:rPr>
      </w:pPr>
      <w:r w:rsidRPr="009347AA">
        <w:rPr>
          <w:sz w:val="20"/>
          <w:szCs w:val="20"/>
        </w:rPr>
        <w:t xml:space="preserve">MacIntyre, L. (Reporter). (2002, January 23). Scandal of the Century [Television series episode]. In H. Cashore (Producer), </w:t>
      </w:r>
      <w:r w:rsidRPr="009347AA">
        <w:rPr>
          <w:i/>
          <w:iCs/>
          <w:sz w:val="20"/>
          <w:szCs w:val="20"/>
        </w:rPr>
        <w:t>The fifth estate</w:t>
      </w:r>
      <w:r w:rsidRPr="009347AA">
        <w:rPr>
          <w:sz w:val="20"/>
          <w:szCs w:val="20"/>
        </w:rPr>
        <w:t>. Toronto, Canada: Canadian Broadcasting Corporation.</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McLuhan, M. (1970a). </w:t>
      </w:r>
      <w:r w:rsidRPr="009347AA">
        <w:rPr>
          <w:i/>
          <w:iCs/>
          <w:sz w:val="20"/>
          <w:szCs w:val="20"/>
        </w:rPr>
        <w:t>Culture is our business</w:t>
      </w:r>
      <w:r w:rsidRPr="009347AA">
        <w:rPr>
          <w:sz w:val="20"/>
          <w:szCs w:val="20"/>
        </w:rPr>
        <w:t>. New York, NY: McGraw-Hill.</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McLuhan, M. (1970b). </w:t>
      </w:r>
      <w:r w:rsidRPr="009347AA">
        <w:rPr>
          <w:i/>
          <w:iCs/>
          <w:sz w:val="20"/>
          <w:szCs w:val="20"/>
        </w:rPr>
        <w:t>From cliche to archetype</w:t>
      </w:r>
      <w:r w:rsidRPr="009347AA">
        <w:rPr>
          <w:sz w:val="20"/>
          <w:szCs w:val="20"/>
        </w:rPr>
        <w:t>. New York, NY: Viking Press.</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Mellers, B. A. (2000). Choice and the relative pleasure of consequences. </w:t>
      </w:r>
      <w:r w:rsidRPr="009347AA">
        <w:rPr>
          <w:i/>
          <w:iCs/>
          <w:sz w:val="20"/>
          <w:szCs w:val="20"/>
        </w:rPr>
        <w:t>Psychological Bulletin</w:t>
      </w:r>
      <w:r w:rsidRPr="009347AA">
        <w:rPr>
          <w:iCs/>
          <w:sz w:val="20"/>
          <w:szCs w:val="20"/>
        </w:rPr>
        <w:t>,</w:t>
      </w:r>
      <w:r w:rsidRPr="009347AA">
        <w:rPr>
          <w:i/>
          <w:iCs/>
          <w:sz w:val="20"/>
          <w:szCs w:val="20"/>
        </w:rPr>
        <w:t xml:space="preserve"> 126</w:t>
      </w:r>
      <w:r w:rsidRPr="009347AA">
        <w:rPr>
          <w:sz w:val="20"/>
          <w:szCs w:val="20"/>
        </w:rPr>
        <w:t xml:space="preserve">, 910-924. </w:t>
      </w:r>
      <w:r w:rsidR="00992B8A">
        <w:rPr>
          <w:sz w:val="20"/>
          <w:szCs w:val="20"/>
        </w:rPr>
        <w:t>https://doi.org/</w:t>
      </w:r>
      <w:r w:rsidRPr="009347AA">
        <w:rPr>
          <w:sz w:val="20"/>
          <w:szCs w:val="20"/>
        </w:rPr>
        <w:t>10.1037/0033-2909.126.6.910</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Postman, N. (1979). </w:t>
      </w:r>
      <w:r w:rsidRPr="009347AA">
        <w:rPr>
          <w:i/>
          <w:iCs/>
          <w:sz w:val="20"/>
          <w:szCs w:val="20"/>
        </w:rPr>
        <w:t>Teaching as a conserving activity</w:t>
      </w:r>
      <w:r w:rsidRPr="009347AA">
        <w:rPr>
          <w:sz w:val="20"/>
          <w:szCs w:val="20"/>
        </w:rPr>
        <w:t>. New York, NY: Delacorte Press.</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Postman, N. (1985). </w:t>
      </w:r>
      <w:r w:rsidRPr="009347AA">
        <w:rPr>
          <w:i/>
          <w:iCs/>
          <w:sz w:val="20"/>
          <w:szCs w:val="20"/>
        </w:rPr>
        <w:t>Amusing ourselves to death: Public discourse in the age of show business</w:t>
      </w:r>
      <w:r w:rsidRPr="009347AA">
        <w:rPr>
          <w:sz w:val="20"/>
          <w:szCs w:val="20"/>
        </w:rPr>
        <w:t>. New York, NY: Viking.</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Semenak, S. (1995, December 28). Feeling right at home: Government residence eschews traditional rules. </w:t>
      </w:r>
      <w:r w:rsidRPr="009347AA">
        <w:rPr>
          <w:i/>
          <w:iCs/>
          <w:sz w:val="20"/>
          <w:szCs w:val="20"/>
        </w:rPr>
        <w:t>Montreal Gazette</w:t>
      </w:r>
      <w:r w:rsidRPr="009347AA">
        <w:rPr>
          <w:sz w:val="20"/>
          <w:szCs w:val="20"/>
        </w:rPr>
        <w:t>, p. A4.</w:t>
      </w:r>
    </w:p>
    <w:p w:rsidR="00CD2FC6" w:rsidRPr="009347AA" w:rsidRDefault="00CD2FC6" w:rsidP="00CD2FC6">
      <w:pPr>
        <w:snapToGrid w:val="0"/>
        <w:spacing w:after="80" w:line="240" w:lineRule="exact"/>
        <w:ind w:left="400" w:hangingChars="200" w:hanging="400"/>
        <w:rPr>
          <w:bCs/>
          <w:sz w:val="20"/>
          <w:szCs w:val="22"/>
        </w:rPr>
      </w:pPr>
      <w:r w:rsidRPr="009347AA">
        <w:rPr>
          <w:bCs/>
          <w:sz w:val="20"/>
          <w:szCs w:val="22"/>
        </w:rPr>
        <w:lastRenderedPageBreak/>
        <w:t xml:space="preserve">Strong, E. K. Jr., &amp; Uhrbrock, R. S. (1923). Bibliography on job analysis. In L. Outhwaite (Series Ed.), </w:t>
      </w:r>
      <w:r w:rsidRPr="009347AA">
        <w:rPr>
          <w:bCs/>
          <w:i/>
          <w:sz w:val="20"/>
          <w:szCs w:val="22"/>
        </w:rPr>
        <w:t>Personnel Research Series: Vol. 1. Job analysis and the curriculum</w:t>
      </w:r>
      <w:r w:rsidRPr="009347AA">
        <w:rPr>
          <w:bCs/>
          <w:sz w:val="20"/>
          <w:szCs w:val="22"/>
        </w:rPr>
        <w:t xml:space="preserve"> (pp. 140-146). </w:t>
      </w:r>
      <w:r w:rsidR="00992B8A">
        <w:rPr>
          <w:sz w:val="20"/>
          <w:szCs w:val="20"/>
        </w:rPr>
        <w:t>https://doi.org/</w:t>
      </w:r>
      <w:r w:rsidRPr="009347AA">
        <w:rPr>
          <w:bCs/>
          <w:sz w:val="20"/>
          <w:szCs w:val="22"/>
        </w:rPr>
        <w:t>10.1037/10762-000</w:t>
      </w:r>
    </w:p>
    <w:p w:rsidR="00CD2FC6" w:rsidRPr="009347AA" w:rsidRDefault="00CD2FC6" w:rsidP="00CD2FC6">
      <w:pPr>
        <w:spacing w:after="80" w:line="240" w:lineRule="exact"/>
        <w:rPr>
          <w:b/>
          <w:bCs/>
          <w:sz w:val="20"/>
        </w:rPr>
      </w:pPr>
    </w:p>
    <w:p w:rsidR="00CD2FC6" w:rsidRPr="009347AA" w:rsidRDefault="00CD2FC6" w:rsidP="00CD2FC6">
      <w:pPr>
        <w:spacing w:after="80" w:line="240" w:lineRule="exact"/>
        <w:outlineLvl w:val="0"/>
        <w:rPr>
          <w:b/>
          <w:sz w:val="20"/>
          <w:lang w:val="en-GB"/>
        </w:rPr>
      </w:pPr>
      <w:r w:rsidRPr="009347AA">
        <w:rPr>
          <w:b/>
          <w:bCs/>
          <w:sz w:val="20"/>
        </w:rPr>
        <w:t>Notes</w:t>
      </w:r>
    </w:p>
    <w:p w:rsidR="00CD2FC6" w:rsidRPr="009347AA" w:rsidRDefault="00CD2FC6" w:rsidP="00CD2FC6">
      <w:pPr>
        <w:spacing w:after="80" w:line="240" w:lineRule="exact"/>
        <w:rPr>
          <w:sz w:val="20"/>
          <w:lang w:val="en-GB"/>
        </w:rPr>
      </w:pPr>
      <w:r w:rsidRPr="009347AA">
        <w:rPr>
          <w:sz w:val="20"/>
          <w:lang w:val="en-GB"/>
        </w:rPr>
        <w:t xml:space="preserve">Note 1. This is an example. </w:t>
      </w:r>
    </w:p>
    <w:p w:rsidR="00CD2FC6" w:rsidRDefault="00CD2FC6" w:rsidP="00CD2FC6">
      <w:pPr>
        <w:spacing w:after="80" w:line="240" w:lineRule="exact"/>
        <w:rPr>
          <w:sz w:val="20"/>
          <w:lang w:val="en-GB"/>
        </w:rPr>
      </w:pPr>
      <w:r w:rsidRPr="009347AA">
        <w:rPr>
          <w:sz w:val="20"/>
          <w:lang w:val="en-GB"/>
        </w:rPr>
        <w:t>Note 2. This is an example for note 2</w:t>
      </w:r>
      <w:r w:rsidRPr="009347AA">
        <w:rPr>
          <w:rFonts w:hint="eastAsia"/>
          <w:sz w:val="20"/>
          <w:lang w:val="en-GB"/>
        </w:rPr>
        <w:t>.</w:t>
      </w:r>
    </w:p>
    <w:p w:rsidR="00CD2FC6" w:rsidRPr="009347AA" w:rsidRDefault="00CD2FC6" w:rsidP="00CD2FC6">
      <w:pPr>
        <w:spacing w:after="80" w:line="240" w:lineRule="exact"/>
        <w:rPr>
          <w:sz w:val="20"/>
          <w:lang w:val="en-GB"/>
        </w:rPr>
      </w:pPr>
    </w:p>
    <w:p w:rsidR="00CD2FC6" w:rsidRPr="009347AA" w:rsidRDefault="00CD2FC6" w:rsidP="00CD2FC6">
      <w:pPr>
        <w:spacing w:after="80" w:line="240" w:lineRule="exact"/>
        <w:outlineLvl w:val="0"/>
        <w:rPr>
          <w:b/>
          <w:sz w:val="20"/>
          <w:szCs w:val="20"/>
        </w:rPr>
      </w:pPr>
      <w:r w:rsidRPr="009347AA">
        <w:rPr>
          <w:rFonts w:hint="eastAsia"/>
          <w:b/>
          <w:sz w:val="20"/>
          <w:szCs w:val="20"/>
        </w:rPr>
        <w:t xml:space="preserve">Appendix A </w:t>
      </w:r>
    </w:p>
    <w:p w:rsidR="00CD2FC6" w:rsidRPr="009347AA" w:rsidRDefault="00CD2FC6" w:rsidP="00CD2FC6">
      <w:pPr>
        <w:spacing w:after="80" w:line="240" w:lineRule="exact"/>
        <w:rPr>
          <w:b/>
          <w:sz w:val="20"/>
          <w:szCs w:val="20"/>
        </w:rPr>
      </w:pPr>
      <w:r w:rsidRPr="009347AA">
        <w:rPr>
          <w:rFonts w:hint="eastAsia"/>
          <w:b/>
          <w:sz w:val="20"/>
          <w:szCs w:val="20"/>
        </w:rPr>
        <w:t>The Heading to Appendix A</w:t>
      </w:r>
    </w:p>
    <w:p w:rsidR="00CD2FC6" w:rsidRPr="009347AA" w:rsidRDefault="00CD2FC6" w:rsidP="00CD2FC6">
      <w:pPr>
        <w:spacing w:after="80" w:line="240" w:lineRule="exact"/>
        <w:rPr>
          <w:sz w:val="20"/>
          <w:szCs w:val="20"/>
        </w:rPr>
      </w:pPr>
      <w:r w:rsidRPr="009347AA">
        <w:rPr>
          <w:sz w:val="20"/>
          <w:szCs w:val="20"/>
        </w:rPr>
        <w:t>In general, an appendix is appropriate for materials that are relatively</w:t>
      </w:r>
      <w:r w:rsidRPr="009347AA">
        <w:rPr>
          <w:rFonts w:hint="eastAsia"/>
          <w:sz w:val="20"/>
          <w:szCs w:val="20"/>
        </w:rPr>
        <w:t xml:space="preserve"> </w:t>
      </w:r>
      <w:r w:rsidRPr="009347AA">
        <w:rPr>
          <w:sz w:val="20"/>
          <w:szCs w:val="20"/>
        </w:rPr>
        <w:t>brief and that are easily presented in print format. Some examples of material suitable</w:t>
      </w:r>
      <w:r w:rsidRPr="009347AA">
        <w:rPr>
          <w:rFonts w:hint="eastAsia"/>
          <w:sz w:val="20"/>
          <w:szCs w:val="20"/>
        </w:rPr>
        <w:t xml:space="preserve"> </w:t>
      </w:r>
      <w:r w:rsidRPr="009347AA">
        <w:rPr>
          <w:sz w:val="20"/>
          <w:szCs w:val="20"/>
        </w:rPr>
        <w:t>for an appendix are (a) a list of stimulus materials (e.g., those used in psycholinguistic</w:t>
      </w:r>
      <w:r w:rsidRPr="009347AA">
        <w:rPr>
          <w:rFonts w:hint="eastAsia"/>
          <w:sz w:val="20"/>
          <w:szCs w:val="20"/>
        </w:rPr>
        <w:t xml:space="preserve"> </w:t>
      </w:r>
      <w:r w:rsidRPr="009347AA">
        <w:rPr>
          <w:sz w:val="20"/>
          <w:szCs w:val="20"/>
        </w:rPr>
        <w:t>research), (b) a detailed description of a complex piece of equipment, (c) a list of articles</w:t>
      </w:r>
      <w:r w:rsidRPr="009347AA">
        <w:rPr>
          <w:rFonts w:hint="eastAsia"/>
          <w:sz w:val="20"/>
          <w:szCs w:val="20"/>
        </w:rPr>
        <w:t xml:space="preserve"> </w:t>
      </w:r>
      <w:r w:rsidRPr="009347AA">
        <w:rPr>
          <w:sz w:val="20"/>
          <w:szCs w:val="20"/>
        </w:rPr>
        <w:t>that provided the source data for a meta-analysis but are not directly referred to</w:t>
      </w:r>
      <w:r w:rsidRPr="009347AA">
        <w:rPr>
          <w:rFonts w:hint="eastAsia"/>
          <w:sz w:val="20"/>
          <w:szCs w:val="20"/>
        </w:rPr>
        <w:t xml:space="preserve"> </w:t>
      </w:r>
      <w:r w:rsidRPr="009347AA">
        <w:rPr>
          <w:sz w:val="20"/>
          <w:szCs w:val="20"/>
        </w:rPr>
        <w:t>in any other way in an article, and (d) a detailed demographic description of subpopulations</w:t>
      </w:r>
      <w:r w:rsidRPr="009347AA">
        <w:rPr>
          <w:rFonts w:hint="eastAsia"/>
          <w:sz w:val="20"/>
          <w:szCs w:val="20"/>
        </w:rPr>
        <w:t xml:space="preserve"> </w:t>
      </w:r>
      <w:r w:rsidRPr="009347AA">
        <w:rPr>
          <w:sz w:val="20"/>
          <w:szCs w:val="20"/>
        </w:rPr>
        <w:t>in the study and other detailed and/or complex reporting items suggested in</w:t>
      </w:r>
      <w:r w:rsidRPr="009347AA">
        <w:rPr>
          <w:rFonts w:hint="eastAsia"/>
          <w:sz w:val="20"/>
          <w:szCs w:val="20"/>
        </w:rPr>
        <w:t xml:space="preserve"> </w:t>
      </w:r>
      <w:r w:rsidRPr="009347AA">
        <w:rPr>
          <w:sz w:val="20"/>
          <w:szCs w:val="20"/>
        </w:rPr>
        <w:t>the reporting standards section of this chapter.</w:t>
      </w:r>
    </w:p>
    <w:p w:rsidR="00CD2FC6" w:rsidRDefault="00CD2FC6" w:rsidP="00CD2FC6">
      <w:pPr>
        <w:spacing w:after="80" w:line="240" w:lineRule="exact"/>
        <w:rPr>
          <w:sz w:val="20"/>
          <w:szCs w:val="20"/>
        </w:rPr>
      </w:pPr>
      <w:r w:rsidRPr="009347AA">
        <w:rPr>
          <w:sz w:val="20"/>
          <w:szCs w:val="20"/>
        </w:rPr>
        <w:t>If your manuscript has only one appendix, label it Appendix; if your manuscript</w:t>
      </w:r>
      <w:r w:rsidRPr="009347AA">
        <w:rPr>
          <w:rFonts w:hint="eastAsia"/>
          <w:sz w:val="20"/>
          <w:szCs w:val="20"/>
        </w:rPr>
        <w:t xml:space="preserve"> </w:t>
      </w:r>
      <w:r w:rsidRPr="009347AA">
        <w:rPr>
          <w:sz w:val="20"/>
          <w:szCs w:val="20"/>
        </w:rPr>
        <w:t>has more than one appendix, label each one with a capital letter (Appendix A,</w:t>
      </w:r>
      <w:r w:rsidRPr="009347AA">
        <w:rPr>
          <w:rFonts w:hint="eastAsia"/>
          <w:sz w:val="20"/>
          <w:szCs w:val="20"/>
        </w:rPr>
        <w:t xml:space="preserve"> </w:t>
      </w:r>
      <w:r w:rsidRPr="009347AA">
        <w:rPr>
          <w:sz w:val="20"/>
          <w:szCs w:val="20"/>
        </w:rPr>
        <w:t>Appendix B, etc.) in the order in which it is mentioned in the main text. Each appendix</w:t>
      </w:r>
      <w:r w:rsidRPr="009347AA">
        <w:rPr>
          <w:rFonts w:hint="eastAsia"/>
          <w:sz w:val="20"/>
          <w:szCs w:val="20"/>
        </w:rPr>
        <w:t xml:space="preserve"> </w:t>
      </w:r>
      <w:r w:rsidRPr="009347AA">
        <w:rPr>
          <w:sz w:val="20"/>
          <w:szCs w:val="20"/>
        </w:rPr>
        <w:t>must have a title. In the text, refer to appendices by their labels:</w:t>
      </w:r>
      <w:r w:rsidRPr="009347AA">
        <w:rPr>
          <w:rFonts w:hint="eastAsia"/>
          <w:sz w:val="20"/>
          <w:szCs w:val="20"/>
        </w:rPr>
        <w:t xml:space="preserve"> </w:t>
      </w:r>
      <w:r w:rsidRPr="009347AA">
        <w:rPr>
          <w:sz w:val="20"/>
          <w:szCs w:val="20"/>
        </w:rPr>
        <w:t>produced the same results for both studies (see Appendices A and B for complete</w:t>
      </w:r>
      <w:r w:rsidRPr="009347AA">
        <w:rPr>
          <w:rFonts w:hint="eastAsia"/>
          <w:sz w:val="20"/>
          <w:szCs w:val="20"/>
        </w:rPr>
        <w:t xml:space="preserve"> </w:t>
      </w:r>
      <w:r w:rsidRPr="009347AA">
        <w:rPr>
          <w:sz w:val="20"/>
          <w:szCs w:val="20"/>
        </w:rPr>
        <w:t>proofs).</w:t>
      </w:r>
    </w:p>
    <w:p w:rsidR="00CD2FC6" w:rsidRPr="009347AA" w:rsidRDefault="00CD2FC6" w:rsidP="00CD2FC6">
      <w:pPr>
        <w:spacing w:after="80" w:line="240" w:lineRule="exact"/>
        <w:rPr>
          <w:sz w:val="20"/>
          <w:szCs w:val="20"/>
        </w:rPr>
      </w:pPr>
    </w:p>
    <w:p w:rsidR="00CD2FC6" w:rsidRPr="009347AA" w:rsidRDefault="00CD2FC6" w:rsidP="00CD2FC6">
      <w:pPr>
        <w:spacing w:after="80" w:line="240" w:lineRule="exact"/>
        <w:outlineLvl w:val="0"/>
        <w:rPr>
          <w:b/>
          <w:sz w:val="20"/>
          <w:szCs w:val="20"/>
        </w:rPr>
      </w:pPr>
      <w:r w:rsidRPr="009347AA">
        <w:rPr>
          <w:rFonts w:hint="eastAsia"/>
          <w:b/>
          <w:sz w:val="20"/>
          <w:szCs w:val="20"/>
        </w:rPr>
        <w:t xml:space="preserve">Appendix B </w:t>
      </w:r>
    </w:p>
    <w:p w:rsidR="00CD2FC6" w:rsidRPr="009347AA" w:rsidRDefault="00CD2FC6" w:rsidP="00CD2FC6">
      <w:pPr>
        <w:spacing w:after="80" w:line="240" w:lineRule="exact"/>
        <w:rPr>
          <w:b/>
          <w:sz w:val="20"/>
          <w:szCs w:val="20"/>
        </w:rPr>
      </w:pPr>
      <w:r w:rsidRPr="009347AA">
        <w:rPr>
          <w:rFonts w:hint="eastAsia"/>
          <w:b/>
          <w:sz w:val="20"/>
          <w:szCs w:val="20"/>
        </w:rPr>
        <w:t>The Heading to Appendix B</w:t>
      </w:r>
    </w:p>
    <w:p w:rsidR="00CD2FC6" w:rsidRPr="009347AA" w:rsidRDefault="00CD2FC6" w:rsidP="00CD2FC6">
      <w:pPr>
        <w:spacing w:after="80" w:line="240" w:lineRule="exact"/>
        <w:rPr>
          <w:sz w:val="20"/>
          <w:szCs w:val="20"/>
        </w:rPr>
      </w:pPr>
      <w:r w:rsidRPr="009347AA">
        <w:rPr>
          <w:sz w:val="20"/>
          <w:szCs w:val="20"/>
        </w:rPr>
        <w:t>Like the main text, an appendix may include headings and subheadings as well as</w:t>
      </w:r>
      <w:r w:rsidRPr="009347AA">
        <w:rPr>
          <w:rFonts w:hint="eastAsia"/>
          <w:sz w:val="20"/>
          <w:szCs w:val="20"/>
        </w:rPr>
        <w:t xml:space="preserve"> </w:t>
      </w:r>
      <w:r w:rsidRPr="009347AA">
        <w:rPr>
          <w:sz w:val="20"/>
          <w:szCs w:val="20"/>
        </w:rPr>
        <w:t>tables, figures, and displayed equations. Number each appendix table and figure, and</w:t>
      </w:r>
      <w:r w:rsidRPr="009347AA">
        <w:rPr>
          <w:rFonts w:hint="eastAsia"/>
          <w:sz w:val="20"/>
          <w:szCs w:val="20"/>
        </w:rPr>
        <w:t xml:space="preserve"> </w:t>
      </w:r>
      <w:r w:rsidRPr="009347AA">
        <w:rPr>
          <w:sz w:val="20"/>
          <w:szCs w:val="20"/>
        </w:rPr>
        <w:t>number displayed equations if necessary for later reference; precede the number with</w:t>
      </w:r>
      <w:r w:rsidRPr="009347AA">
        <w:rPr>
          <w:rFonts w:hint="eastAsia"/>
          <w:sz w:val="20"/>
          <w:szCs w:val="20"/>
        </w:rPr>
        <w:t xml:space="preserve"> </w:t>
      </w:r>
      <w:r w:rsidRPr="009347AA">
        <w:rPr>
          <w:sz w:val="20"/>
          <w:szCs w:val="20"/>
        </w:rPr>
        <w:t>the letter of the appendix in which it is included (e.g., Table A1). In a sole appendix, which is not labeled with a letter, precede all tables, figures, and equation numbers with the letter A to distinguish them from those of the main text.</w:t>
      </w:r>
    </w:p>
    <w:p w:rsidR="00CD2FC6" w:rsidRPr="009347AA" w:rsidRDefault="00CD2FC6" w:rsidP="00CD2FC6">
      <w:pPr>
        <w:spacing w:after="80" w:line="240" w:lineRule="exact"/>
        <w:rPr>
          <w:sz w:val="20"/>
          <w:szCs w:val="20"/>
        </w:rPr>
      </w:pPr>
    </w:p>
    <w:p w:rsidR="00CD2FC6" w:rsidRPr="009347AA" w:rsidRDefault="00CD2FC6" w:rsidP="00CD2FC6">
      <w:pPr>
        <w:spacing w:after="80" w:line="240" w:lineRule="exact"/>
        <w:rPr>
          <w:sz w:val="20"/>
          <w:szCs w:val="20"/>
        </w:rPr>
      </w:pPr>
      <w:r w:rsidRPr="009347AA">
        <w:rPr>
          <w:rFonts w:hint="eastAsia"/>
          <w:sz w:val="20"/>
          <w:szCs w:val="20"/>
        </w:rPr>
        <w:t xml:space="preserve">Table B1. </w:t>
      </w:r>
      <w:r w:rsidRPr="009347AA">
        <w:rPr>
          <w:sz w:val="20"/>
          <w:szCs w:val="22"/>
        </w:rPr>
        <w:t xml:space="preserve">Table title (this is an example of table </w:t>
      </w:r>
      <w:r w:rsidRPr="009347AA">
        <w:rPr>
          <w:rFonts w:hint="eastAsia"/>
          <w:sz w:val="20"/>
          <w:szCs w:val="22"/>
        </w:rPr>
        <w:t>B</w:t>
      </w:r>
      <w:r w:rsidRPr="009347AA">
        <w:rPr>
          <w:sz w:val="20"/>
          <w:szCs w:val="22"/>
        </w:rPr>
        <w:t>1)</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CD2FC6" w:rsidRPr="009347AA" w:rsidTr="00BA359B">
        <w:trPr>
          <w:jc w:val="center"/>
        </w:trPr>
        <w:tc>
          <w:tcPr>
            <w:tcW w:w="2523" w:type="dxa"/>
            <w:tcBorders>
              <w:top w:val="single" w:sz="4" w:space="0" w:color="auto"/>
              <w:bottom w:val="single" w:sz="4" w:space="0" w:color="auto"/>
            </w:tcBorders>
          </w:tcPr>
          <w:p w:rsidR="00CD2FC6" w:rsidRPr="009347AA" w:rsidRDefault="00CD2FC6" w:rsidP="00BA359B">
            <w:pPr>
              <w:spacing w:after="80" w:line="240" w:lineRule="exact"/>
              <w:rPr>
                <w:sz w:val="20"/>
                <w:szCs w:val="22"/>
              </w:rPr>
            </w:pPr>
          </w:p>
        </w:tc>
        <w:tc>
          <w:tcPr>
            <w:tcW w:w="179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Total assets</w:t>
            </w:r>
          </w:p>
        </w:tc>
      </w:tr>
      <w:tr w:rsidR="00CD2FC6" w:rsidRPr="009347AA" w:rsidTr="00BA359B">
        <w:trPr>
          <w:jc w:val="center"/>
        </w:trPr>
        <w:tc>
          <w:tcPr>
            <w:tcW w:w="2523" w:type="dxa"/>
            <w:tcBorders>
              <w:top w:val="single" w:sz="4" w:space="0" w:color="auto"/>
            </w:tcBorders>
          </w:tcPr>
          <w:p w:rsidR="00CD2FC6" w:rsidRPr="009347AA" w:rsidRDefault="00CD2FC6" w:rsidP="00BA359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5730.7</w:t>
            </w:r>
          </w:p>
        </w:tc>
      </w:tr>
      <w:tr w:rsidR="00CD2FC6" w:rsidRPr="009347AA" w:rsidTr="00BA359B">
        <w:trPr>
          <w:jc w:val="center"/>
        </w:trPr>
        <w:tc>
          <w:tcPr>
            <w:tcW w:w="2523" w:type="dxa"/>
          </w:tcPr>
          <w:p w:rsidR="00CD2FC6" w:rsidRPr="009347AA" w:rsidRDefault="00CD2FC6" w:rsidP="00BA359B">
            <w:pPr>
              <w:spacing w:after="80" w:line="240" w:lineRule="exact"/>
              <w:rPr>
                <w:sz w:val="20"/>
                <w:szCs w:val="22"/>
                <w:lang w:val="en-GB"/>
              </w:rPr>
            </w:pPr>
            <w:r w:rsidRPr="009347AA">
              <w:rPr>
                <w:sz w:val="20"/>
                <w:szCs w:val="22"/>
                <w:lang w:val="en-GB"/>
              </w:rPr>
              <w:t>Bank of China</w:t>
            </w:r>
          </w:p>
        </w:tc>
        <w:tc>
          <w:tcPr>
            <w:tcW w:w="179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459.4</w:t>
            </w:r>
          </w:p>
        </w:tc>
        <w:tc>
          <w:tcPr>
            <w:tcW w:w="232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3345.7</w:t>
            </w:r>
          </w:p>
        </w:tc>
        <w:tc>
          <w:tcPr>
            <w:tcW w:w="1275"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59876.9</w:t>
            </w:r>
          </w:p>
        </w:tc>
      </w:tr>
    </w:tbl>
    <w:p w:rsidR="00CD2FC6" w:rsidRPr="009347AA" w:rsidRDefault="00CD2FC6" w:rsidP="00CD2FC6">
      <w:pPr>
        <w:spacing w:after="80" w:line="240" w:lineRule="exact"/>
        <w:rPr>
          <w:sz w:val="20"/>
          <w:lang w:val="en-GB"/>
        </w:rPr>
      </w:pPr>
    </w:p>
    <w:p w:rsidR="00CD2FC6" w:rsidRPr="009347AA" w:rsidRDefault="00CD2FC6" w:rsidP="00CD2FC6">
      <w:pPr>
        <w:spacing w:after="80" w:line="240" w:lineRule="exact"/>
        <w:rPr>
          <w:sz w:val="20"/>
          <w:szCs w:val="20"/>
        </w:rPr>
      </w:pPr>
      <w:r w:rsidRPr="009347AA">
        <w:rPr>
          <w:rFonts w:hint="eastAsia"/>
          <w:sz w:val="20"/>
          <w:szCs w:val="20"/>
        </w:rPr>
        <w:t xml:space="preserve">Table B2. </w:t>
      </w:r>
      <w:r w:rsidRPr="009347AA">
        <w:rPr>
          <w:sz w:val="20"/>
          <w:szCs w:val="22"/>
        </w:rPr>
        <w:t xml:space="preserve">Table title (this is an example of table </w:t>
      </w:r>
      <w:r w:rsidRPr="009347AA">
        <w:rPr>
          <w:rFonts w:hint="eastAsia"/>
          <w:sz w:val="20"/>
          <w:szCs w:val="22"/>
        </w:rPr>
        <w:t>B2</w:t>
      </w:r>
      <w:r w:rsidRPr="009347AA">
        <w:rPr>
          <w:sz w:val="20"/>
          <w:szCs w:val="22"/>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CD2FC6" w:rsidRPr="009347AA" w:rsidTr="00BA359B">
        <w:trPr>
          <w:jc w:val="center"/>
        </w:trPr>
        <w:tc>
          <w:tcPr>
            <w:tcW w:w="2523" w:type="dxa"/>
            <w:tcBorders>
              <w:top w:val="single" w:sz="4" w:space="0" w:color="auto"/>
              <w:bottom w:val="single" w:sz="4" w:space="0" w:color="auto"/>
            </w:tcBorders>
          </w:tcPr>
          <w:p w:rsidR="00CD2FC6" w:rsidRPr="009347AA" w:rsidRDefault="00CD2FC6" w:rsidP="00BA359B">
            <w:pPr>
              <w:spacing w:after="80" w:line="240" w:lineRule="exact"/>
              <w:rPr>
                <w:sz w:val="20"/>
                <w:szCs w:val="22"/>
              </w:rPr>
            </w:pPr>
          </w:p>
        </w:tc>
        <w:tc>
          <w:tcPr>
            <w:tcW w:w="179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Total assets</w:t>
            </w:r>
          </w:p>
        </w:tc>
      </w:tr>
      <w:tr w:rsidR="00CD2FC6" w:rsidRPr="009347AA" w:rsidTr="00BA359B">
        <w:trPr>
          <w:jc w:val="center"/>
        </w:trPr>
        <w:tc>
          <w:tcPr>
            <w:tcW w:w="2523" w:type="dxa"/>
            <w:tcBorders>
              <w:top w:val="single" w:sz="4" w:space="0" w:color="auto"/>
            </w:tcBorders>
          </w:tcPr>
          <w:p w:rsidR="00CD2FC6" w:rsidRPr="009347AA" w:rsidRDefault="00CD2FC6" w:rsidP="00BA359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5730.7</w:t>
            </w:r>
          </w:p>
        </w:tc>
      </w:tr>
      <w:tr w:rsidR="00CD2FC6" w:rsidRPr="009347AA" w:rsidTr="00BA359B">
        <w:trPr>
          <w:jc w:val="center"/>
        </w:trPr>
        <w:tc>
          <w:tcPr>
            <w:tcW w:w="2523" w:type="dxa"/>
          </w:tcPr>
          <w:p w:rsidR="00CD2FC6" w:rsidRPr="009347AA" w:rsidRDefault="00CD2FC6" w:rsidP="00BA359B">
            <w:pPr>
              <w:spacing w:after="80" w:line="240" w:lineRule="exact"/>
              <w:rPr>
                <w:sz w:val="20"/>
                <w:szCs w:val="22"/>
                <w:lang w:val="en-GB"/>
              </w:rPr>
            </w:pPr>
            <w:r w:rsidRPr="009347AA">
              <w:rPr>
                <w:sz w:val="20"/>
                <w:szCs w:val="22"/>
                <w:lang w:val="en-GB"/>
              </w:rPr>
              <w:t>Bank of China</w:t>
            </w:r>
          </w:p>
        </w:tc>
        <w:tc>
          <w:tcPr>
            <w:tcW w:w="179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459.4</w:t>
            </w:r>
          </w:p>
        </w:tc>
        <w:tc>
          <w:tcPr>
            <w:tcW w:w="232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3345.7</w:t>
            </w:r>
          </w:p>
        </w:tc>
        <w:tc>
          <w:tcPr>
            <w:tcW w:w="1275"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59876.9</w:t>
            </w:r>
          </w:p>
        </w:tc>
      </w:tr>
    </w:tbl>
    <w:p w:rsidR="00CD2FC6" w:rsidRPr="009347AA" w:rsidRDefault="00CD2FC6" w:rsidP="00CD2FC6">
      <w:pPr>
        <w:spacing w:after="80" w:line="240" w:lineRule="exact"/>
        <w:rPr>
          <w:sz w:val="20"/>
          <w:lang w:val="en-GB"/>
        </w:rPr>
      </w:pPr>
    </w:p>
    <w:p w:rsidR="00CD2FC6" w:rsidRPr="009347AA" w:rsidRDefault="00CD2FC6" w:rsidP="00CD2FC6">
      <w:pPr>
        <w:spacing w:after="80"/>
        <w:jc w:val="center"/>
        <w:rPr>
          <w:sz w:val="20"/>
          <w:szCs w:val="22"/>
        </w:rPr>
      </w:pPr>
      <w:r>
        <w:rPr>
          <w:noProof/>
          <w:sz w:val="20"/>
        </w:rPr>
        <w:lastRenderedPageBreak/>
        <w:drawing>
          <wp:inline distT="0" distB="0" distL="0" distR="0">
            <wp:extent cx="3219450" cy="1562100"/>
            <wp:effectExtent l="19050" t="0" r="0" b="0"/>
            <wp:docPr id="23" name="图片 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pic:cNvPicPr>
                      <a:picLocks noChangeAspect="1" noChangeArrowheads="1"/>
                    </pic:cNvPicPr>
                  </pic:nvPicPr>
                  <pic:blipFill>
                    <a:blip r:embed="rId7" cstate="print">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CD2FC6" w:rsidRPr="009347AA" w:rsidRDefault="00CD2FC6" w:rsidP="00CD2FC6">
      <w:pPr>
        <w:spacing w:after="80" w:line="240" w:lineRule="exact"/>
        <w:jc w:val="center"/>
        <w:rPr>
          <w:sz w:val="20"/>
          <w:szCs w:val="22"/>
        </w:rPr>
      </w:pPr>
      <w:r w:rsidRPr="009347AA">
        <w:rPr>
          <w:rFonts w:hint="eastAsia"/>
          <w:sz w:val="20"/>
          <w:lang w:val="en-GB"/>
        </w:rPr>
        <w:t xml:space="preserve">Figure B1. Figure title </w:t>
      </w:r>
      <w:r w:rsidRPr="009347AA">
        <w:rPr>
          <w:sz w:val="20"/>
          <w:szCs w:val="22"/>
        </w:rPr>
        <w:t xml:space="preserve">(This is an example of figure </w:t>
      </w:r>
      <w:r w:rsidRPr="009347AA">
        <w:rPr>
          <w:rFonts w:hint="eastAsia"/>
          <w:sz w:val="20"/>
          <w:szCs w:val="22"/>
        </w:rPr>
        <w:t>B</w:t>
      </w:r>
      <w:r w:rsidRPr="009347AA">
        <w:rPr>
          <w:sz w:val="20"/>
          <w:szCs w:val="22"/>
        </w:rPr>
        <w:t>1)</w:t>
      </w:r>
    </w:p>
    <w:p w:rsidR="00CD2FC6" w:rsidRPr="009347AA" w:rsidRDefault="00CD2FC6" w:rsidP="00CD2FC6">
      <w:pPr>
        <w:spacing w:after="80" w:line="240" w:lineRule="exact"/>
        <w:jc w:val="center"/>
        <w:rPr>
          <w:sz w:val="20"/>
          <w:szCs w:val="22"/>
        </w:rPr>
      </w:pPr>
    </w:p>
    <w:p w:rsidR="00CD2FC6" w:rsidRPr="009347AA" w:rsidRDefault="00CD2FC6" w:rsidP="00CD2FC6">
      <w:pPr>
        <w:spacing w:after="80" w:line="240" w:lineRule="exact"/>
        <w:rPr>
          <w:b/>
          <w:sz w:val="20"/>
          <w:szCs w:val="20"/>
        </w:rPr>
      </w:pPr>
    </w:p>
    <w:p w:rsidR="00CD2FC6" w:rsidRPr="009347AA" w:rsidRDefault="00CD2FC6" w:rsidP="00CD2FC6">
      <w:pPr>
        <w:spacing w:after="80" w:line="240" w:lineRule="exact"/>
        <w:outlineLvl w:val="0"/>
        <w:rPr>
          <w:sz w:val="20"/>
          <w:lang w:val="en-GB"/>
        </w:rPr>
      </w:pPr>
      <w:r w:rsidRPr="009347AA">
        <w:rPr>
          <w:rFonts w:hint="eastAsia"/>
          <w:b/>
          <w:sz w:val="20"/>
          <w:szCs w:val="20"/>
        </w:rPr>
        <w:t>Appendix C</w:t>
      </w:r>
    </w:p>
    <w:p w:rsidR="00CD2FC6" w:rsidRPr="009347AA" w:rsidRDefault="00CD2FC6" w:rsidP="00CD2FC6">
      <w:pPr>
        <w:spacing w:after="80" w:line="240" w:lineRule="exact"/>
        <w:rPr>
          <w:sz w:val="20"/>
          <w:szCs w:val="20"/>
        </w:rPr>
      </w:pPr>
      <w:bookmarkStart w:id="12" w:name="OLE_LINK1"/>
      <w:bookmarkStart w:id="13" w:name="OLE_LINK2"/>
      <w:r w:rsidRPr="009347AA">
        <w:rPr>
          <w:rFonts w:hint="eastAsia"/>
          <w:b/>
          <w:sz w:val="20"/>
          <w:szCs w:val="20"/>
        </w:rPr>
        <w:t>The Heading to Appendix C</w:t>
      </w:r>
      <w:r w:rsidRPr="009347AA">
        <w:rPr>
          <w:sz w:val="20"/>
          <w:szCs w:val="20"/>
        </w:rPr>
        <w:t xml:space="preserve"> </w:t>
      </w:r>
      <w:r w:rsidRPr="009347AA">
        <w:rPr>
          <w:rFonts w:hint="eastAsia"/>
          <w:sz w:val="20"/>
          <w:szCs w:val="20"/>
        </w:rPr>
        <w:t>(</w:t>
      </w:r>
      <w:r w:rsidRPr="009347AA">
        <w:rPr>
          <w:sz w:val="20"/>
          <w:szCs w:val="20"/>
        </w:rPr>
        <w:t>If one table constitutes an entire appendix, the appendix label and title serve</w:t>
      </w:r>
      <w:r w:rsidRPr="009347AA">
        <w:rPr>
          <w:rFonts w:hint="eastAsia"/>
          <w:sz w:val="20"/>
          <w:szCs w:val="20"/>
        </w:rPr>
        <w:t xml:space="preserve"> </w:t>
      </w:r>
      <w:r w:rsidRPr="009347AA">
        <w:rPr>
          <w:sz w:val="20"/>
          <w:szCs w:val="20"/>
        </w:rPr>
        <w:t>in lieu of a table number and title.</w:t>
      </w:r>
      <w:r w:rsidRPr="009347AA">
        <w:rPr>
          <w:rFonts w:hint="eastAsia"/>
          <w:sz w:val="20"/>
          <w:szCs w:val="20"/>
        </w:rPr>
        <w:t>)</w:t>
      </w:r>
      <w:r w:rsidRPr="009347AA">
        <w:rPr>
          <w:sz w:val="20"/>
          <w:szCs w:val="20"/>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CD2FC6" w:rsidRPr="009347AA" w:rsidTr="00BA359B">
        <w:trPr>
          <w:jc w:val="center"/>
        </w:trPr>
        <w:tc>
          <w:tcPr>
            <w:tcW w:w="2130" w:type="dxa"/>
            <w:tcBorders>
              <w:bottom w:val="nil"/>
            </w:tcBorders>
            <w:shd w:val="clear" w:color="auto" w:fill="auto"/>
          </w:tcPr>
          <w:p w:rsidR="00CD2FC6" w:rsidRPr="009347AA" w:rsidRDefault="00CD2FC6" w:rsidP="00BA359B">
            <w:pPr>
              <w:spacing w:line="240" w:lineRule="exact"/>
              <w:rPr>
                <w:sz w:val="20"/>
                <w:szCs w:val="20"/>
              </w:rPr>
            </w:pPr>
          </w:p>
        </w:tc>
        <w:tc>
          <w:tcPr>
            <w:tcW w:w="2130" w:type="dxa"/>
            <w:tcBorders>
              <w:bottom w:val="nil"/>
            </w:tcBorders>
            <w:shd w:val="clear" w:color="auto" w:fill="auto"/>
          </w:tcPr>
          <w:p w:rsidR="00CD2FC6" w:rsidRPr="009347AA" w:rsidRDefault="00CD2FC6" w:rsidP="00BA359B">
            <w:pPr>
              <w:spacing w:line="240" w:lineRule="exact"/>
              <w:rPr>
                <w:sz w:val="20"/>
                <w:szCs w:val="20"/>
              </w:rPr>
            </w:pPr>
          </w:p>
        </w:tc>
        <w:tc>
          <w:tcPr>
            <w:tcW w:w="4262" w:type="dxa"/>
            <w:gridSpan w:val="2"/>
            <w:tcBorders>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95%CI</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UL</w:t>
            </w:r>
          </w:p>
        </w:tc>
      </w:tr>
      <w:tr w:rsidR="00CD2FC6" w:rsidRPr="009347AA" w:rsidTr="00BA359B">
        <w:trPr>
          <w:jc w:val="center"/>
        </w:trPr>
        <w:tc>
          <w:tcPr>
            <w:tcW w:w="2130" w:type="dxa"/>
            <w:tcBorders>
              <w:bottom w:val="nil"/>
            </w:tcBorders>
            <w:shd w:val="clear" w:color="auto" w:fill="auto"/>
          </w:tcPr>
          <w:p w:rsidR="00CD2FC6" w:rsidRPr="009347AA" w:rsidRDefault="00CD2FC6" w:rsidP="00BA359B">
            <w:pPr>
              <w:spacing w:line="240" w:lineRule="exact"/>
              <w:rPr>
                <w:sz w:val="20"/>
                <w:szCs w:val="20"/>
              </w:rPr>
            </w:pPr>
            <w:r w:rsidRPr="009347AA">
              <w:rPr>
                <w:sz w:val="20"/>
                <w:szCs w:val="20"/>
              </w:rPr>
              <w:t>Letters</w:t>
            </w:r>
          </w:p>
        </w:tc>
        <w:tc>
          <w:tcPr>
            <w:tcW w:w="2130" w:type="dxa"/>
            <w:tcBorders>
              <w:bottom w:val="nil"/>
            </w:tcBorders>
            <w:shd w:val="clear" w:color="auto" w:fill="auto"/>
          </w:tcPr>
          <w:p w:rsidR="00CD2FC6" w:rsidRPr="009347AA" w:rsidRDefault="00CD2FC6" w:rsidP="00BA359B">
            <w:pPr>
              <w:spacing w:line="240" w:lineRule="exact"/>
              <w:jc w:val="center"/>
              <w:rPr>
                <w:sz w:val="20"/>
                <w:szCs w:val="20"/>
              </w:rPr>
            </w:pPr>
            <w:r w:rsidRPr="009347AA">
              <w:rPr>
                <w:sz w:val="20"/>
                <w:szCs w:val="20"/>
              </w:rPr>
              <w:t>14.5(28.6)</w:t>
            </w:r>
          </w:p>
        </w:tc>
        <w:tc>
          <w:tcPr>
            <w:tcW w:w="2131" w:type="dxa"/>
            <w:tcBorders>
              <w:bottom w:val="nil"/>
            </w:tcBorders>
            <w:shd w:val="clear" w:color="auto" w:fill="auto"/>
          </w:tcPr>
          <w:p w:rsidR="00CD2FC6" w:rsidRPr="009347AA" w:rsidRDefault="00CD2FC6" w:rsidP="00BA359B">
            <w:pPr>
              <w:spacing w:line="240" w:lineRule="exact"/>
              <w:jc w:val="center"/>
              <w:rPr>
                <w:sz w:val="20"/>
                <w:szCs w:val="20"/>
              </w:rPr>
            </w:pPr>
            <w:r w:rsidRPr="009347AA">
              <w:rPr>
                <w:sz w:val="20"/>
                <w:szCs w:val="20"/>
              </w:rPr>
              <w:t>5.4</w:t>
            </w:r>
          </w:p>
        </w:tc>
        <w:tc>
          <w:tcPr>
            <w:tcW w:w="2131" w:type="dxa"/>
            <w:tcBorders>
              <w:bottom w:val="nil"/>
            </w:tcBorders>
            <w:shd w:val="clear" w:color="auto" w:fill="auto"/>
          </w:tcPr>
          <w:p w:rsidR="00CD2FC6" w:rsidRPr="009347AA" w:rsidRDefault="00CD2FC6" w:rsidP="00BA359B">
            <w:pPr>
              <w:spacing w:line="240" w:lineRule="exact"/>
              <w:jc w:val="center"/>
              <w:rPr>
                <w:sz w:val="20"/>
                <w:szCs w:val="20"/>
              </w:rPr>
            </w:pPr>
            <w:r w:rsidRPr="009347AA">
              <w:rPr>
                <w:sz w:val="20"/>
                <w:szCs w:val="20"/>
              </w:rPr>
              <w:t>23.6</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line="240" w:lineRule="exact"/>
              <w:rPr>
                <w:sz w:val="20"/>
                <w:szCs w:val="20"/>
              </w:rPr>
            </w:pPr>
            <w:r w:rsidRPr="009347AA">
              <w:rPr>
                <w:sz w:val="20"/>
                <w:szCs w:val="20"/>
              </w:rPr>
              <w:t>Digits</w:t>
            </w:r>
          </w:p>
        </w:tc>
        <w:tc>
          <w:tcPr>
            <w:tcW w:w="2130"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42.4</w:t>
            </w:r>
          </w:p>
        </w:tc>
      </w:tr>
    </w:tbl>
    <w:p w:rsidR="00CD2FC6" w:rsidRDefault="00CD2FC6" w:rsidP="00CD2FC6">
      <w:pPr>
        <w:rPr>
          <w:b/>
          <w:sz w:val="20"/>
          <w:szCs w:val="20"/>
        </w:rPr>
      </w:pPr>
    </w:p>
    <w:p w:rsidR="00CD2FC6" w:rsidRPr="009347AA" w:rsidRDefault="00CD2FC6" w:rsidP="00CD2FC6">
      <w:pPr>
        <w:rPr>
          <w:b/>
          <w:sz w:val="20"/>
          <w:szCs w:val="20"/>
        </w:rPr>
      </w:pPr>
    </w:p>
    <w:p w:rsidR="00CD2FC6" w:rsidRPr="009347AA" w:rsidRDefault="00CD2FC6" w:rsidP="00CD2FC6">
      <w:pPr>
        <w:spacing w:after="80" w:line="240" w:lineRule="exact"/>
        <w:outlineLvl w:val="0"/>
        <w:rPr>
          <w:b/>
          <w:sz w:val="20"/>
          <w:szCs w:val="20"/>
          <w:lang w:eastAsia="en-US"/>
        </w:rPr>
      </w:pPr>
      <w:r w:rsidRPr="009347AA">
        <w:rPr>
          <w:b/>
          <w:sz w:val="20"/>
          <w:szCs w:val="20"/>
          <w:lang w:eastAsia="en-US"/>
        </w:rPr>
        <w:t>Copyrights</w:t>
      </w:r>
    </w:p>
    <w:p w:rsidR="00CD2FC6" w:rsidRPr="009347AA" w:rsidRDefault="00CD2FC6" w:rsidP="00CD2FC6">
      <w:pPr>
        <w:spacing w:after="80" w:line="240" w:lineRule="exact"/>
        <w:rPr>
          <w:sz w:val="20"/>
          <w:szCs w:val="20"/>
          <w:lang w:eastAsia="en-US"/>
        </w:rPr>
      </w:pPr>
      <w:bookmarkStart w:id="14" w:name="OLE_LINK9"/>
      <w:bookmarkStart w:id="15" w:name="OLE_LINK10"/>
      <w:r w:rsidRPr="009347AA">
        <w:rPr>
          <w:sz w:val="20"/>
          <w:szCs w:val="20"/>
          <w:lang w:eastAsia="en-US"/>
        </w:rPr>
        <w:t>Copyright for this article is retained by the author(s), with first publication rights granted to the journal.</w:t>
      </w:r>
    </w:p>
    <w:p w:rsidR="00CD2FC6" w:rsidRPr="009347AA" w:rsidRDefault="00CD2FC6" w:rsidP="00CD2FC6">
      <w:pPr>
        <w:spacing w:after="80" w:line="240" w:lineRule="exact"/>
        <w:rPr>
          <w:sz w:val="20"/>
          <w:szCs w:val="20"/>
          <w:lang w:eastAsia="en-US"/>
        </w:rPr>
      </w:pPr>
      <w:r w:rsidRPr="009347AA">
        <w:rPr>
          <w:sz w:val="20"/>
          <w:szCs w:val="20"/>
          <w:lang w:eastAsia="en-US"/>
        </w:rPr>
        <w:t>This is an open-access article distributed under the terms and conditions of the Creative Commons Attribution license (http://creativecommons.org/licenses/by/</w:t>
      </w:r>
      <w:r w:rsidR="00CA1666">
        <w:rPr>
          <w:rFonts w:hint="eastAsia"/>
          <w:sz w:val="20"/>
          <w:szCs w:val="20"/>
        </w:rPr>
        <w:t>4</w:t>
      </w:r>
      <w:r w:rsidRPr="009347AA">
        <w:rPr>
          <w:sz w:val="20"/>
          <w:szCs w:val="20"/>
          <w:lang w:eastAsia="en-US"/>
        </w:rPr>
        <w:t>.0/).</w:t>
      </w:r>
    </w:p>
    <w:bookmarkEnd w:id="12"/>
    <w:bookmarkEnd w:id="13"/>
    <w:bookmarkEnd w:id="14"/>
    <w:bookmarkEnd w:id="15"/>
    <w:p w:rsidR="00CD2FC6" w:rsidRPr="009347AA" w:rsidRDefault="00CD2FC6" w:rsidP="00CD2FC6">
      <w:pPr>
        <w:spacing w:after="80" w:line="240" w:lineRule="exact"/>
        <w:rPr>
          <w:sz w:val="20"/>
          <w:szCs w:val="20"/>
        </w:rPr>
      </w:pPr>
    </w:p>
    <w:p w:rsidR="0059065F" w:rsidRPr="00CD2FC6" w:rsidRDefault="0059065F" w:rsidP="00D8198D">
      <w:pPr>
        <w:rPr>
          <w:szCs w:val="20"/>
        </w:rPr>
      </w:pPr>
    </w:p>
    <w:sectPr w:rsidR="0059065F" w:rsidRPr="00CD2FC6" w:rsidSect="003C3CA9">
      <w:headerReference w:type="default" r:id="rId9"/>
      <w:footerReference w:type="default" r:id="rId10"/>
      <w:headerReference w:type="first" r:id="rId11"/>
      <w:footerReference w:type="first" r:id="rId12"/>
      <w:pgSz w:w="11907" w:h="16160" w:code="157"/>
      <w:pgMar w:top="1418" w:right="1418" w:bottom="1134" w:left="1418" w:header="794" w:footer="51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C2" w:rsidRDefault="008E4EC2" w:rsidP="007E0D5B">
      <w:r>
        <w:separator/>
      </w:r>
    </w:p>
  </w:endnote>
  <w:endnote w:type="continuationSeparator" w:id="0">
    <w:p w:rsidR="008E4EC2" w:rsidRDefault="008E4EC2" w:rsidP="007E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AB" w:rsidRDefault="006161AB" w:rsidP="006161AB">
    <w:pPr>
      <w:pStyle w:val="a5"/>
    </w:pPr>
    <w:bookmarkStart w:id="16" w:name="_Hlk501566499"/>
    <w:r>
      <w:ptab w:relativeTo="margin" w:alignment="center" w:leader="none"/>
    </w:r>
    <w:r w:rsidR="002F593A">
      <w:t>8</w:t>
    </w:r>
    <w:r>
      <w:ptab w:relativeTo="margin" w:alignment="right" w:leader="none"/>
    </w:r>
    <w:r w:rsidRPr="0057230D">
      <w:t>Published by IDEAS SPREAD</w:t>
    </w:r>
  </w:p>
  <w:bookmarkEnd w:id="16"/>
  <w:p w:rsidR="007E0D5B" w:rsidRDefault="007E0D5B" w:rsidP="00036F9F">
    <w:pPr>
      <w:pStyle w:val="a5"/>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E9" w:rsidRDefault="00FA23E9" w:rsidP="00FA23E9">
    <w:pPr>
      <w:pStyle w:val="a5"/>
    </w:pPr>
    <w:r>
      <w:ptab w:relativeTo="margin" w:alignment="center" w:leader="none"/>
    </w:r>
    <w:r>
      <w:t>1</w:t>
    </w:r>
    <w:r>
      <w:ptab w:relativeTo="margin" w:alignment="right" w:leader="none"/>
    </w:r>
    <w:r w:rsidRPr="0057230D">
      <w:t>Published by IDEAS SPREAD</w:t>
    </w:r>
  </w:p>
  <w:p w:rsidR="00036F9F" w:rsidRPr="003C3CA9" w:rsidRDefault="00036F9F" w:rsidP="00284410">
    <w:pPr>
      <w:pStyle w:val="a5"/>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C2" w:rsidRDefault="008E4EC2" w:rsidP="007E0D5B">
      <w:r>
        <w:separator/>
      </w:r>
    </w:p>
  </w:footnote>
  <w:footnote w:type="continuationSeparator" w:id="0">
    <w:p w:rsidR="008E4EC2" w:rsidRDefault="008E4EC2" w:rsidP="007E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5B" w:rsidRPr="007E0D5B" w:rsidRDefault="002D2505" w:rsidP="00522B2F">
    <w:pPr>
      <w:pStyle w:val="a3"/>
      <w:tabs>
        <w:tab w:val="clear" w:pos="4153"/>
        <w:tab w:val="clear" w:pos="8306"/>
        <w:tab w:val="center" w:pos="4536"/>
        <w:tab w:val="right" w:pos="9072"/>
      </w:tabs>
      <w:jc w:val="both"/>
    </w:pPr>
    <w:r>
      <w:t>ier</w:t>
    </w:r>
    <w:r w:rsidR="00A978C5" w:rsidRPr="00A978C5">
      <w:t>.ideasspread.org</w:t>
    </w:r>
    <w:r w:rsidR="00607A5B" w:rsidRPr="004C4895">
      <w:tab/>
    </w:r>
    <w:r w:rsidR="00BC144C" w:rsidRPr="00BC144C">
      <w:t>International Educational Research</w:t>
    </w:r>
    <w:r w:rsidR="00607A5B" w:rsidRPr="004C4895">
      <w:tab/>
    </w:r>
    <w:r w:rsidR="00813E9D" w:rsidRPr="00813E9D">
      <w:t>Vol</w:t>
    </w:r>
    <w:r w:rsidR="00E36E42">
      <w:t>.</w:t>
    </w:r>
    <w:r w:rsidR="00813E9D" w:rsidRPr="00813E9D">
      <w:t xml:space="preserve"> 1, No</w:t>
    </w:r>
    <w:r w:rsidR="00E36E42">
      <w:t>.</w:t>
    </w:r>
    <w:r w:rsidR="00813E9D" w:rsidRPr="00813E9D">
      <w:t xml:space="preserve"> 1</w:t>
    </w:r>
    <w:r w:rsidR="00E36E42">
      <w:t xml:space="preserve">; </w:t>
    </w:r>
    <w:r w:rsidR="00813E9D" w:rsidRPr="00813E9D">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5B" w:rsidRPr="00262C71" w:rsidRDefault="009609E9" w:rsidP="00147129">
    <w:pPr>
      <w:pStyle w:val="a3"/>
      <w:wordWrap w:val="0"/>
      <w:jc w:val="right"/>
      <w:rPr>
        <w:color w:val="FF0000"/>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17780</wp:posOffset>
          </wp:positionV>
          <wp:extent cx="602091" cy="360000"/>
          <wp:effectExtent l="0" t="0" r="762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91" cy="360000"/>
                  </a:xfrm>
                  <a:prstGeom prst="rect">
                    <a:avLst/>
                  </a:prstGeom>
                  <a:noFill/>
                  <a:ln>
                    <a:noFill/>
                  </a:ln>
                </pic:spPr>
              </pic:pic>
            </a:graphicData>
          </a:graphic>
          <wp14:sizeRelH relativeFrom="margin">
            <wp14:pctWidth>0</wp14:pctWidth>
          </wp14:sizeRelH>
        </wp:anchor>
      </w:drawing>
    </w:r>
    <w:r w:rsidR="00AE0DC3" w:rsidRPr="00AE0DC3">
      <w:t>International Educ</w:t>
    </w:r>
    <w:r w:rsidR="00AE0DC3" w:rsidRPr="00147129">
      <w:t>ational Research</w:t>
    </w:r>
    <w:r w:rsidR="00262C71">
      <w:t>;</w:t>
    </w:r>
    <w:r w:rsidR="00147129" w:rsidRPr="00147129">
      <w:t xml:space="preserve"> </w:t>
    </w:r>
    <w:r w:rsidR="00262C71" w:rsidRPr="007E0D5B">
      <w:t>Vol.</w:t>
    </w:r>
    <w:r w:rsidR="00262C71">
      <w:t xml:space="preserve"> </w:t>
    </w:r>
    <w:r w:rsidR="00907F87">
      <w:t>1</w:t>
    </w:r>
    <w:r w:rsidR="00262C71" w:rsidRPr="007E0D5B">
      <w:t>,</w:t>
    </w:r>
    <w:r w:rsidR="00262C71">
      <w:t xml:space="preserve"> </w:t>
    </w:r>
    <w:r w:rsidR="00262C71" w:rsidRPr="007E0D5B">
      <w:t>No.</w:t>
    </w:r>
    <w:r w:rsidR="00262C71">
      <w:t xml:space="preserve"> </w:t>
    </w:r>
    <w:r w:rsidR="00907F87">
      <w:t>1</w:t>
    </w:r>
    <w:r w:rsidR="00262C71" w:rsidRPr="007E0D5B">
      <w:t>;</w:t>
    </w:r>
    <w:r w:rsidR="00262C71">
      <w:rPr>
        <w:rFonts w:hint="eastAsia"/>
      </w:rPr>
      <w:t xml:space="preserve"> </w:t>
    </w:r>
    <w:r w:rsidR="00262C71" w:rsidRPr="007E0D5B">
      <w:t>201</w:t>
    </w:r>
    <w:r w:rsidR="00262C71">
      <w:t>8</w:t>
    </w:r>
  </w:p>
  <w:p w:rsidR="00702F9E" w:rsidRPr="00147129" w:rsidRDefault="006A3454" w:rsidP="00702F9E">
    <w:pPr>
      <w:pStyle w:val="a3"/>
      <w:wordWrap w:val="0"/>
      <w:jc w:val="right"/>
    </w:pPr>
    <w:r w:rsidRPr="006A3454">
      <w:t>ISSN 2576-3059(Print)</w:t>
    </w:r>
    <w:r w:rsidR="002C0140">
      <w:t xml:space="preserve"> </w:t>
    </w:r>
    <w:r w:rsidRPr="006A3454">
      <w:t>ISSN 2576-3067(Online)</w:t>
    </w:r>
  </w:p>
  <w:p w:rsidR="000C2894" w:rsidRPr="00147129" w:rsidRDefault="00E44BD5" w:rsidP="000C2894">
    <w:pPr>
      <w:pStyle w:val="a3"/>
      <w:jc w:val="right"/>
    </w:pPr>
    <w:r w:rsidRPr="00E44BD5">
      <w:t>https://doi.org/10. 30560/xxxxx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43F1"/>
    <w:multiLevelType w:val="hybridMultilevel"/>
    <w:tmpl w:val="92705F58"/>
    <w:lvl w:ilvl="0" w:tplc="39DAD544">
      <w:numFmt w:val="bullet"/>
      <w:suff w:val="space"/>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637E99"/>
    <w:multiLevelType w:val="hybridMultilevel"/>
    <w:tmpl w:val="061CE29E"/>
    <w:lvl w:ilvl="0" w:tplc="0408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D5B"/>
    <w:rsid w:val="00012045"/>
    <w:rsid w:val="00036F9F"/>
    <w:rsid w:val="000C1860"/>
    <w:rsid w:val="000C2894"/>
    <w:rsid w:val="000D544A"/>
    <w:rsid w:val="00147129"/>
    <w:rsid w:val="001A0DB4"/>
    <w:rsid w:val="001D0523"/>
    <w:rsid w:val="00210FCA"/>
    <w:rsid w:val="00262C71"/>
    <w:rsid w:val="002655B9"/>
    <w:rsid w:val="00284410"/>
    <w:rsid w:val="00292F51"/>
    <w:rsid w:val="00294E77"/>
    <w:rsid w:val="002B2B42"/>
    <w:rsid w:val="002C0140"/>
    <w:rsid w:val="002D2505"/>
    <w:rsid w:val="002F593A"/>
    <w:rsid w:val="002F7961"/>
    <w:rsid w:val="00303763"/>
    <w:rsid w:val="003158B4"/>
    <w:rsid w:val="00315EA7"/>
    <w:rsid w:val="003402B0"/>
    <w:rsid w:val="00380114"/>
    <w:rsid w:val="00393F42"/>
    <w:rsid w:val="003A5437"/>
    <w:rsid w:val="003C3CA9"/>
    <w:rsid w:val="003E585A"/>
    <w:rsid w:val="00424169"/>
    <w:rsid w:val="00444D53"/>
    <w:rsid w:val="004544AC"/>
    <w:rsid w:val="00456158"/>
    <w:rsid w:val="0047444A"/>
    <w:rsid w:val="004B7A14"/>
    <w:rsid w:val="004F6B1E"/>
    <w:rsid w:val="00522B2F"/>
    <w:rsid w:val="0057230D"/>
    <w:rsid w:val="0059065F"/>
    <w:rsid w:val="005D57F0"/>
    <w:rsid w:val="00607A5B"/>
    <w:rsid w:val="006161AB"/>
    <w:rsid w:val="006318A5"/>
    <w:rsid w:val="00631D79"/>
    <w:rsid w:val="006A3454"/>
    <w:rsid w:val="00702F9E"/>
    <w:rsid w:val="00715802"/>
    <w:rsid w:val="00736C30"/>
    <w:rsid w:val="007D56D3"/>
    <w:rsid w:val="007E0D5B"/>
    <w:rsid w:val="007F23A6"/>
    <w:rsid w:val="00813E9D"/>
    <w:rsid w:val="00846E55"/>
    <w:rsid w:val="008962D3"/>
    <w:rsid w:val="008E0C85"/>
    <w:rsid w:val="008E4EC2"/>
    <w:rsid w:val="00907F87"/>
    <w:rsid w:val="00935942"/>
    <w:rsid w:val="009609E9"/>
    <w:rsid w:val="00973BA3"/>
    <w:rsid w:val="00992B8A"/>
    <w:rsid w:val="009B3668"/>
    <w:rsid w:val="009E44E3"/>
    <w:rsid w:val="00A53A7F"/>
    <w:rsid w:val="00A732AD"/>
    <w:rsid w:val="00A9496C"/>
    <w:rsid w:val="00A978C5"/>
    <w:rsid w:val="00AA6105"/>
    <w:rsid w:val="00AE0DC3"/>
    <w:rsid w:val="00B12342"/>
    <w:rsid w:val="00B52A8F"/>
    <w:rsid w:val="00B640D0"/>
    <w:rsid w:val="00BC144C"/>
    <w:rsid w:val="00BE630C"/>
    <w:rsid w:val="00C040BF"/>
    <w:rsid w:val="00C047FE"/>
    <w:rsid w:val="00C10007"/>
    <w:rsid w:val="00C217FE"/>
    <w:rsid w:val="00C30E62"/>
    <w:rsid w:val="00C4135E"/>
    <w:rsid w:val="00C67AC8"/>
    <w:rsid w:val="00CA1666"/>
    <w:rsid w:val="00CC1368"/>
    <w:rsid w:val="00CD2FC6"/>
    <w:rsid w:val="00CE601D"/>
    <w:rsid w:val="00D122F3"/>
    <w:rsid w:val="00D20611"/>
    <w:rsid w:val="00D30531"/>
    <w:rsid w:val="00D34A8F"/>
    <w:rsid w:val="00D51A1E"/>
    <w:rsid w:val="00D654A7"/>
    <w:rsid w:val="00D7256B"/>
    <w:rsid w:val="00D7300D"/>
    <w:rsid w:val="00D8198D"/>
    <w:rsid w:val="00D82E34"/>
    <w:rsid w:val="00D957F8"/>
    <w:rsid w:val="00E05F0D"/>
    <w:rsid w:val="00E36E42"/>
    <w:rsid w:val="00E44BD5"/>
    <w:rsid w:val="00E77342"/>
    <w:rsid w:val="00EB14C2"/>
    <w:rsid w:val="00ED5709"/>
    <w:rsid w:val="00EE51CD"/>
    <w:rsid w:val="00EE611B"/>
    <w:rsid w:val="00EF0B7E"/>
    <w:rsid w:val="00FA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5C6C4-DEA7-4CF2-9D95-5D3E4BD2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65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07A5B"/>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D5B"/>
    <w:rPr>
      <w:sz w:val="18"/>
      <w:szCs w:val="18"/>
    </w:rPr>
  </w:style>
  <w:style w:type="paragraph" w:styleId="a5">
    <w:name w:val="footer"/>
    <w:basedOn w:val="a"/>
    <w:link w:val="a6"/>
    <w:uiPriority w:val="99"/>
    <w:unhideWhenUsed/>
    <w:rsid w:val="007E0D5B"/>
    <w:pPr>
      <w:tabs>
        <w:tab w:val="center" w:pos="4153"/>
        <w:tab w:val="right" w:pos="8306"/>
      </w:tabs>
      <w:snapToGrid w:val="0"/>
      <w:jc w:val="left"/>
    </w:pPr>
    <w:rPr>
      <w:sz w:val="18"/>
      <w:szCs w:val="18"/>
    </w:rPr>
  </w:style>
  <w:style w:type="character" w:customStyle="1" w:styleId="a6">
    <w:name w:val="页脚 字符"/>
    <w:basedOn w:val="a0"/>
    <w:link w:val="a5"/>
    <w:uiPriority w:val="99"/>
    <w:rsid w:val="007E0D5B"/>
    <w:rPr>
      <w:sz w:val="18"/>
      <w:szCs w:val="18"/>
    </w:rPr>
  </w:style>
  <w:style w:type="paragraph" w:styleId="a7">
    <w:name w:val="No Spacing"/>
    <w:link w:val="a8"/>
    <w:uiPriority w:val="1"/>
    <w:qFormat/>
    <w:rsid w:val="007E0D5B"/>
    <w:rPr>
      <w:kern w:val="0"/>
      <w:sz w:val="22"/>
    </w:rPr>
  </w:style>
  <w:style w:type="character" w:customStyle="1" w:styleId="a8">
    <w:name w:val="无间隔 字符"/>
    <w:basedOn w:val="a0"/>
    <w:link w:val="a7"/>
    <w:uiPriority w:val="1"/>
    <w:rsid w:val="007E0D5B"/>
    <w:rPr>
      <w:kern w:val="0"/>
      <w:sz w:val="22"/>
    </w:rPr>
  </w:style>
  <w:style w:type="character" w:styleId="a9">
    <w:name w:val="Hyperlink"/>
    <w:basedOn w:val="a0"/>
    <w:uiPriority w:val="99"/>
    <w:unhideWhenUsed/>
    <w:rsid w:val="007E0D5B"/>
    <w:rPr>
      <w:color w:val="0000FF" w:themeColor="hyperlink"/>
      <w:u w:val="single"/>
    </w:rPr>
  </w:style>
  <w:style w:type="paragraph" w:styleId="aa">
    <w:name w:val="Balloon Text"/>
    <w:basedOn w:val="a"/>
    <w:link w:val="ab"/>
    <w:uiPriority w:val="99"/>
    <w:semiHidden/>
    <w:unhideWhenUsed/>
    <w:rsid w:val="0059065F"/>
    <w:rPr>
      <w:sz w:val="18"/>
      <w:szCs w:val="18"/>
    </w:rPr>
  </w:style>
  <w:style w:type="character" w:customStyle="1" w:styleId="ab">
    <w:name w:val="批注框文本 字符"/>
    <w:basedOn w:val="a0"/>
    <w:link w:val="aa"/>
    <w:uiPriority w:val="99"/>
    <w:semiHidden/>
    <w:rsid w:val="0059065F"/>
    <w:rPr>
      <w:rFonts w:ascii="Times New Roman" w:eastAsia="宋体" w:hAnsi="Times New Roman" w:cs="Times New Roman"/>
      <w:sz w:val="18"/>
      <w:szCs w:val="18"/>
    </w:rPr>
  </w:style>
  <w:style w:type="paragraph" w:styleId="ac">
    <w:name w:val="Document Map"/>
    <w:basedOn w:val="a"/>
    <w:link w:val="ad"/>
    <w:uiPriority w:val="99"/>
    <w:semiHidden/>
    <w:unhideWhenUsed/>
    <w:rsid w:val="00380114"/>
    <w:rPr>
      <w:rFonts w:ascii="宋体"/>
      <w:sz w:val="18"/>
      <w:szCs w:val="18"/>
    </w:rPr>
  </w:style>
  <w:style w:type="character" w:customStyle="1" w:styleId="ad">
    <w:name w:val="文档结构图 字符"/>
    <w:basedOn w:val="a0"/>
    <w:link w:val="ac"/>
    <w:uiPriority w:val="99"/>
    <w:semiHidden/>
    <w:rsid w:val="00380114"/>
    <w:rPr>
      <w:rFonts w:ascii="宋体" w:eastAsia="宋体" w:hAnsi="Times New Roman" w:cs="Times New Roman"/>
      <w:sz w:val="18"/>
      <w:szCs w:val="18"/>
    </w:rPr>
  </w:style>
  <w:style w:type="character" w:customStyle="1" w:styleId="1Char">
    <w:name w:val="标题 1 Char"/>
    <w:basedOn w:val="a0"/>
    <w:uiPriority w:val="9"/>
    <w:rsid w:val="00607A5B"/>
    <w:rPr>
      <w:rFonts w:ascii="Times New Roman" w:eastAsia="宋体" w:hAnsi="Times New Roman" w:cs="Times New Roman"/>
      <w:b/>
      <w:bCs/>
      <w:kern w:val="44"/>
      <w:sz w:val="44"/>
      <w:szCs w:val="44"/>
    </w:rPr>
  </w:style>
  <w:style w:type="character" w:customStyle="1" w:styleId="10">
    <w:name w:val="标题 1 字符"/>
    <w:basedOn w:val="a0"/>
    <w:link w:val="1"/>
    <w:uiPriority w:val="9"/>
    <w:locked/>
    <w:rsid w:val="00607A5B"/>
    <w:rPr>
      <w:rFonts w:ascii="Times New Roman" w:eastAsia="宋体" w:hAnsi="Times New Roman" w:cs="Times New Roman"/>
      <w:b/>
      <w:bCs/>
      <w:kern w:val="0"/>
      <w:sz w:val="22"/>
      <w:lang w:val="en-GB"/>
    </w:rPr>
  </w:style>
  <w:style w:type="character" w:styleId="ae">
    <w:name w:val="Unresolved Mention"/>
    <w:basedOn w:val="a0"/>
    <w:uiPriority w:val="99"/>
    <w:semiHidden/>
    <w:unhideWhenUsed/>
    <w:rsid w:val="00147129"/>
    <w:rPr>
      <w:color w:val="808080"/>
      <w:shd w:val="clear" w:color="auto" w:fill="E6E6E6"/>
    </w:rPr>
  </w:style>
  <w:style w:type="paragraph" w:customStyle="1" w:styleId="11">
    <w:name w:val="标题1"/>
    <w:basedOn w:val="a"/>
    <w:link w:val="TITLE"/>
    <w:qFormat/>
    <w:rsid w:val="00E77342"/>
    <w:pPr>
      <w:spacing w:before="200" w:after="200" w:line="400" w:lineRule="exact"/>
      <w:jc w:val="center"/>
    </w:pPr>
    <w:rPr>
      <w:sz w:val="32"/>
      <w:szCs w:val="32"/>
    </w:rPr>
  </w:style>
  <w:style w:type="paragraph" w:customStyle="1" w:styleId="authorname">
    <w:name w:val="author name"/>
    <w:basedOn w:val="a"/>
    <w:link w:val="authorname0"/>
    <w:qFormat/>
    <w:rsid w:val="00E77342"/>
    <w:pPr>
      <w:widowControl/>
      <w:adjustRightInd w:val="0"/>
      <w:snapToGrid w:val="0"/>
      <w:spacing w:after="80" w:line="240" w:lineRule="exact"/>
      <w:jc w:val="center"/>
      <w:outlineLvl w:val="0"/>
    </w:pPr>
    <w:rPr>
      <w:kern w:val="0"/>
      <w:sz w:val="20"/>
      <w:szCs w:val="20"/>
      <w:lang w:val="de-DE"/>
    </w:rPr>
  </w:style>
  <w:style w:type="character" w:customStyle="1" w:styleId="TITLE">
    <w:name w:val="TITLE 字符"/>
    <w:basedOn w:val="a0"/>
    <w:link w:val="11"/>
    <w:rsid w:val="00E77342"/>
    <w:rPr>
      <w:rFonts w:ascii="Times New Roman" w:eastAsia="宋体" w:hAnsi="Times New Roman" w:cs="Times New Roman"/>
      <w:sz w:val="32"/>
      <w:szCs w:val="32"/>
    </w:rPr>
  </w:style>
  <w:style w:type="paragraph" w:customStyle="1" w:styleId="text">
    <w:name w:val="text"/>
    <w:basedOn w:val="a"/>
    <w:link w:val="text0"/>
    <w:qFormat/>
    <w:rsid w:val="00E77342"/>
    <w:pPr>
      <w:widowControl/>
      <w:adjustRightInd w:val="0"/>
      <w:snapToGrid w:val="0"/>
      <w:spacing w:after="80" w:line="240" w:lineRule="exact"/>
      <w:outlineLvl w:val="0"/>
    </w:pPr>
    <w:rPr>
      <w:rFonts w:eastAsia="Times New Roman"/>
      <w:bCs/>
      <w:kern w:val="0"/>
      <w:sz w:val="20"/>
      <w:szCs w:val="20"/>
      <w:lang w:eastAsia="en-US"/>
    </w:rPr>
  </w:style>
  <w:style w:type="character" w:customStyle="1" w:styleId="authorname0">
    <w:name w:val="author name 字符"/>
    <w:basedOn w:val="a0"/>
    <w:link w:val="authorname"/>
    <w:rsid w:val="00E77342"/>
    <w:rPr>
      <w:rFonts w:ascii="Times New Roman" w:eastAsia="宋体" w:hAnsi="Times New Roman" w:cs="Times New Roman"/>
      <w:kern w:val="0"/>
      <w:sz w:val="20"/>
      <w:szCs w:val="20"/>
      <w:lang w:val="de-DE"/>
    </w:rPr>
  </w:style>
  <w:style w:type="paragraph" w:customStyle="1" w:styleId="figure">
    <w:name w:val="figure"/>
    <w:basedOn w:val="a"/>
    <w:link w:val="figure0"/>
    <w:qFormat/>
    <w:rsid w:val="00E77342"/>
    <w:pPr>
      <w:tabs>
        <w:tab w:val="left" w:pos="3555"/>
      </w:tabs>
      <w:spacing w:after="80"/>
      <w:jc w:val="center"/>
    </w:pPr>
    <w:rPr>
      <w:noProof/>
      <w:sz w:val="20"/>
    </w:rPr>
  </w:style>
  <w:style w:type="character" w:customStyle="1" w:styleId="text0">
    <w:name w:val="text 字符"/>
    <w:basedOn w:val="a0"/>
    <w:link w:val="text"/>
    <w:rsid w:val="00E77342"/>
    <w:rPr>
      <w:rFonts w:ascii="Times New Roman" w:eastAsia="Times New Roman" w:hAnsi="Times New Roman" w:cs="Times New Roman"/>
      <w:bCs/>
      <w:kern w:val="0"/>
      <w:sz w:val="20"/>
      <w:szCs w:val="20"/>
      <w:lang w:eastAsia="en-US"/>
    </w:rPr>
  </w:style>
  <w:style w:type="paragraph" w:customStyle="1" w:styleId="figure123">
    <w:name w:val="figure 1. 2. 3."/>
    <w:basedOn w:val="a"/>
    <w:link w:val="figure1230"/>
    <w:qFormat/>
    <w:rsid w:val="00E77342"/>
    <w:pPr>
      <w:spacing w:after="80" w:line="240" w:lineRule="exact"/>
      <w:jc w:val="center"/>
      <w:outlineLvl w:val="0"/>
    </w:pPr>
    <w:rPr>
      <w:sz w:val="20"/>
      <w:szCs w:val="22"/>
    </w:rPr>
  </w:style>
  <w:style w:type="character" w:customStyle="1" w:styleId="figure0">
    <w:name w:val="figure 字符"/>
    <w:basedOn w:val="a0"/>
    <w:link w:val="figure"/>
    <w:rsid w:val="00E77342"/>
    <w:rPr>
      <w:rFonts w:ascii="Times New Roman" w:eastAsia="宋体" w:hAnsi="Times New Roman" w:cs="Times New Roman"/>
      <w:noProof/>
      <w:sz w:val="20"/>
      <w:szCs w:val="24"/>
    </w:rPr>
  </w:style>
  <w:style w:type="paragraph" w:customStyle="1" w:styleId="references">
    <w:name w:val="references"/>
    <w:basedOn w:val="a"/>
    <w:link w:val="references0"/>
    <w:qFormat/>
    <w:rsid w:val="00E77342"/>
    <w:pPr>
      <w:spacing w:after="80" w:line="240" w:lineRule="exact"/>
      <w:ind w:left="400" w:hangingChars="200" w:hanging="400"/>
    </w:pPr>
    <w:rPr>
      <w:sz w:val="20"/>
      <w:szCs w:val="20"/>
    </w:rPr>
  </w:style>
  <w:style w:type="character" w:customStyle="1" w:styleId="figure1230">
    <w:name w:val="figure 1. 2. 3. 字符"/>
    <w:basedOn w:val="a0"/>
    <w:link w:val="figure123"/>
    <w:rsid w:val="00E77342"/>
    <w:rPr>
      <w:rFonts w:ascii="Times New Roman" w:eastAsia="宋体" w:hAnsi="Times New Roman" w:cs="Times New Roman"/>
      <w:sz w:val="20"/>
    </w:rPr>
  </w:style>
  <w:style w:type="character" w:customStyle="1" w:styleId="references0">
    <w:name w:val="references 字符"/>
    <w:basedOn w:val="a0"/>
    <w:link w:val="references"/>
    <w:rsid w:val="00E77342"/>
    <w:rPr>
      <w:rFonts w:ascii="Times New Roman" w:eastAsia="宋体"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is.org/iceis2005/abstracts_200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4064</Words>
  <Characters>23167</Characters>
  <Application>Microsoft Office Word</Application>
  <DocSecurity>0</DocSecurity>
  <Lines>193</Lines>
  <Paragraphs>54</Paragraphs>
  <ScaleCrop>false</ScaleCrop>
  <Company>Lenovo (Beijing) Limited</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37</cp:revision>
  <cp:lastPrinted>2012-05-16T07:59:00Z</cp:lastPrinted>
  <dcterms:created xsi:type="dcterms:W3CDTF">2014-07-28T08:48:00Z</dcterms:created>
  <dcterms:modified xsi:type="dcterms:W3CDTF">2019-08-23T02:49:00Z</dcterms:modified>
</cp:coreProperties>
</file>